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2443B" w14:textId="77777777" w:rsidR="00532A76" w:rsidRDefault="0027043F" w:rsidP="00B24592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ESTUDIO MUNDIAL EN 64 PAISES: </w:t>
      </w:r>
      <w:r w:rsidR="00532A76" w:rsidRPr="00F35D16">
        <w:rPr>
          <w:b/>
          <w:sz w:val="32"/>
        </w:rPr>
        <w:t>¿Vivimos mejor que nuestros padres? ¿Y nuestros hijos?</w:t>
      </w:r>
    </w:p>
    <w:p w14:paraId="7B10748E" w14:textId="77777777" w:rsidR="0027043F" w:rsidRDefault="0027043F" w:rsidP="001A099A">
      <w:pPr>
        <w:spacing w:after="0" w:line="240" w:lineRule="auto"/>
        <w:rPr>
          <w:b/>
          <w:sz w:val="32"/>
        </w:rPr>
      </w:pPr>
    </w:p>
    <w:p w14:paraId="415465CB" w14:textId="4A13321A" w:rsidR="001A099A" w:rsidRPr="00104870" w:rsidRDefault="00104870" w:rsidP="00B24592">
      <w:pPr>
        <w:spacing w:after="0" w:line="240" w:lineRule="auto"/>
        <w:jc w:val="center"/>
        <w:rPr>
          <w:i/>
          <w:sz w:val="32"/>
        </w:rPr>
      </w:pPr>
      <w:r w:rsidRPr="0097407D">
        <w:rPr>
          <w:i/>
          <w:sz w:val="32"/>
        </w:rPr>
        <w:t>“</w:t>
      </w:r>
      <w:r w:rsidR="00E93EE7" w:rsidRPr="0097407D">
        <w:rPr>
          <w:i/>
          <w:sz w:val="32"/>
        </w:rPr>
        <w:t xml:space="preserve">En </w:t>
      </w:r>
      <w:r w:rsidR="001A099A" w:rsidRPr="0097407D">
        <w:rPr>
          <w:i/>
          <w:sz w:val="32"/>
        </w:rPr>
        <w:t>Argentina</w:t>
      </w:r>
      <w:r w:rsidR="0027043F" w:rsidRPr="0097407D">
        <w:rPr>
          <w:i/>
          <w:sz w:val="32"/>
        </w:rPr>
        <w:t xml:space="preserve"> es baja la </w:t>
      </w:r>
      <w:r w:rsidR="00E93EE7" w:rsidRPr="0097407D">
        <w:rPr>
          <w:i/>
          <w:sz w:val="32"/>
        </w:rPr>
        <w:t>esperanza</w:t>
      </w:r>
      <w:r w:rsidR="001A099A" w:rsidRPr="0097407D">
        <w:rPr>
          <w:i/>
          <w:sz w:val="32"/>
        </w:rPr>
        <w:t xml:space="preserve"> sobre el futuro de los hijos</w:t>
      </w:r>
      <w:r w:rsidRPr="0097407D">
        <w:rPr>
          <w:i/>
          <w:sz w:val="32"/>
        </w:rPr>
        <w:t xml:space="preserve">, mientras que a nivel global </w:t>
      </w:r>
      <w:r w:rsidR="0097407D" w:rsidRPr="0097407D">
        <w:rPr>
          <w:i/>
          <w:sz w:val="32"/>
        </w:rPr>
        <w:t xml:space="preserve">la Unión Europea está entre las regiones </w:t>
      </w:r>
      <w:r w:rsidRPr="0097407D">
        <w:rPr>
          <w:i/>
          <w:sz w:val="32"/>
        </w:rPr>
        <w:t>menos optimistas”</w:t>
      </w:r>
      <w:r w:rsidR="008C2E05">
        <w:rPr>
          <w:i/>
          <w:sz w:val="32"/>
        </w:rPr>
        <w:t xml:space="preserve"> </w:t>
      </w:r>
    </w:p>
    <w:p w14:paraId="5DD20079" w14:textId="77777777" w:rsidR="00532A76" w:rsidRDefault="00532A76" w:rsidP="003076E4">
      <w:pPr>
        <w:spacing w:after="0"/>
      </w:pPr>
    </w:p>
    <w:p w14:paraId="5C691917" w14:textId="58486B08" w:rsidR="004A7A2D" w:rsidRDefault="001A099A" w:rsidP="003076E4">
      <w:pPr>
        <w:spacing w:after="0"/>
        <w:jc w:val="both"/>
        <w:rPr>
          <w:b/>
        </w:rPr>
      </w:pPr>
      <w:r w:rsidRPr="004A7A2D">
        <w:rPr>
          <w:b/>
        </w:rPr>
        <w:t>La mitad de los ciudadanos del mundo</w:t>
      </w:r>
      <w:r w:rsidR="00532A76" w:rsidRPr="004A7A2D">
        <w:rPr>
          <w:b/>
        </w:rPr>
        <w:t xml:space="preserve"> (51%) cree que su vida es mejor que la de sus padres. </w:t>
      </w:r>
      <w:r w:rsidR="00532A76" w:rsidRPr="0027043F">
        <w:rPr>
          <w:b/>
        </w:rPr>
        <w:t xml:space="preserve">La otra mitad de los encuestados se divide a partes iguales entre los que valoran una vida peor (23%) y los que la encuentran igual (23%). El 3% no supo contestar. </w:t>
      </w:r>
    </w:p>
    <w:p w14:paraId="6D3EFAE1" w14:textId="77777777" w:rsidR="003076E4" w:rsidRPr="0027043F" w:rsidRDefault="003076E4" w:rsidP="003076E4">
      <w:pPr>
        <w:spacing w:after="0"/>
        <w:jc w:val="both"/>
        <w:rPr>
          <w:b/>
        </w:rPr>
      </w:pPr>
    </w:p>
    <w:p w14:paraId="46F48037" w14:textId="77777777" w:rsidR="004A7A2D" w:rsidRPr="0027043F" w:rsidRDefault="00532A76" w:rsidP="003076E4">
      <w:pPr>
        <w:spacing w:after="0"/>
        <w:jc w:val="both"/>
        <w:rPr>
          <w:b/>
        </w:rPr>
      </w:pPr>
      <w:r w:rsidRPr="0027043F">
        <w:rPr>
          <w:b/>
        </w:rPr>
        <w:t xml:space="preserve">Las expectativas sobre </w:t>
      </w:r>
      <w:r w:rsidR="00E93EE7" w:rsidRPr="0027043F">
        <w:rPr>
          <w:b/>
        </w:rPr>
        <w:t xml:space="preserve">cómo será </w:t>
      </w:r>
      <w:r w:rsidRPr="0027043F">
        <w:rPr>
          <w:b/>
        </w:rPr>
        <w:t>la vida de los hijos de hoy tambi</w:t>
      </w:r>
      <w:r w:rsidR="00E93EE7" w:rsidRPr="0027043F">
        <w:rPr>
          <w:b/>
        </w:rPr>
        <w:t>én es predominantemente positiva -</w:t>
      </w:r>
      <w:r w:rsidRPr="0027043F">
        <w:rPr>
          <w:b/>
        </w:rPr>
        <w:t xml:space="preserve"> </w:t>
      </w:r>
      <w:r w:rsidR="00E93EE7" w:rsidRPr="0027043F">
        <w:rPr>
          <w:b/>
        </w:rPr>
        <w:t>aunque inferior</w:t>
      </w:r>
      <w:r w:rsidRPr="0027043F">
        <w:rPr>
          <w:b/>
        </w:rPr>
        <w:t xml:space="preserve"> a la comparación de la propia vida con la de la generación anterior: el 44% espera una vida mejor para </w:t>
      </w:r>
      <w:r w:rsidR="00E93EE7" w:rsidRPr="0027043F">
        <w:rPr>
          <w:b/>
        </w:rPr>
        <w:t xml:space="preserve">sus </w:t>
      </w:r>
      <w:r w:rsidRPr="0027043F">
        <w:rPr>
          <w:b/>
        </w:rPr>
        <w:t xml:space="preserve">hijos, el 28% espera una vida peor, el 20% espera </w:t>
      </w:r>
      <w:r w:rsidR="00E93EE7" w:rsidRPr="0027043F">
        <w:rPr>
          <w:b/>
        </w:rPr>
        <w:t xml:space="preserve">un nivel similar </w:t>
      </w:r>
      <w:r w:rsidRPr="0027043F">
        <w:rPr>
          <w:b/>
        </w:rPr>
        <w:t xml:space="preserve">y el 8% no responde. </w:t>
      </w:r>
    </w:p>
    <w:p w14:paraId="2CE7974C" w14:textId="242B75F0" w:rsidR="004A7A2D" w:rsidRDefault="0027043F" w:rsidP="003076E4">
      <w:pPr>
        <w:spacing w:after="0"/>
        <w:jc w:val="both"/>
        <w:rPr>
          <w:b/>
        </w:rPr>
      </w:pPr>
      <w:r w:rsidRPr="0027043F">
        <w:rPr>
          <w:b/>
        </w:rPr>
        <w:t xml:space="preserve">En Argentina las expectativas sobre el futuro de los hijos están divididas (32% </w:t>
      </w:r>
      <w:r>
        <w:rPr>
          <w:b/>
        </w:rPr>
        <w:t xml:space="preserve">son optimistas </w:t>
      </w:r>
      <w:r w:rsidRPr="0027043F">
        <w:rPr>
          <w:b/>
        </w:rPr>
        <w:t xml:space="preserve">y 30% </w:t>
      </w:r>
      <w:r>
        <w:rPr>
          <w:b/>
        </w:rPr>
        <w:t>pesimistas</w:t>
      </w:r>
      <w:r w:rsidRPr="0027043F">
        <w:rPr>
          <w:b/>
        </w:rPr>
        <w:t>)</w:t>
      </w:r>
      <w:r w:rsidR="00380D3E">
        <w:rPr>
          <w:b/>
        </w:rPr>
        <w:t>.</w:t>
      </w:r>
    </w:p>
    <w:p w14:paraId="325836C1" w14:textId="77777777" w:rsidR="003076E4" w:rsidRPr="0027043F" w:rsidRDefault="003076E4" w:rsidP="003076E4">
      <w:pPr>
        <w:spacing w:after="0"/>
        <w:jc w:val="both"/>
        <w:rPr>
          <w:b/>
        </w:rPr>
      </w:pPr>
    </w:p>
    <w:p w14:paraId="4BA405DE" w14:textId="7D395749" w:rsidR="00532A76" w:rsidRDefault="00532A76" w:rsidP="003076E4">
      <w:pPr>
        <w:spacing w:after="0"/>
        <w:jc w:val="both"/>
        <w:rPr>
          <w:b/>
        </w:rPr>
      </w:pPr>
      <w:r w:rsidRPr="0027043F">
        <w:rPr>
          <w:b/>
        </w:rPr>
        <w:t xml:space="preserve">Este es el panorama de la encuesta especial realizada en 64 países que abarcan más de dos tercios de la población mundial (y más del 90% de los países que tienen libertad para realizar y publicar estudios de opinión). </w:t>
      </w:r>
    </w:p>
    <w:p w14:paraId="1BD68F2C" w14:textId="77777777" w:rsidR="003076E4" w:rsidRPr="0027043F" w:rsidRDefault="003076E4" w:rsidP="003076E4">
      <w:pPr>
        <w:spacing w:after="0"/>
        <w:jc w:val="both"/>
        <w:rPr>
          <w:b/>
        </w:rPr>
      </w:pPr>
    </w:p>
    <w:p w14:paraId="6E81E585" w14:textId="113F4402" w:rsidR="0027043F" w:rsidRDefault="0027043F" w:rsidP="003076E4">
      <w:pPr>
        <w:spacing w:after="0"/>
        <w:rPr>
          <w:b/>
        </w:rPr>
      </w:pPr>
      <w:r w:rsidRPr="0027043F">
        <w:rPr>
          <w:b/>
        </w:rPr>
        <w:t>RESULTADOS GLOBALES</w:t>
      </w:r>
    </w:p>
    <w:p w14:paraId="4320BCF8" w14:textId="77777777" w:rsidR="003076E4" w:rsidRPr="0027043F" w:rsidRDefault="003076E4" w:rsidP="003076E4">
      <w:pPr>
        <w:spacing w:after="0"/>
        <w:rPr>
          <w:b/>
        </w:rPr>
      </w:pPr>
    </w:p>
    <w:p w14:paraId="084F1149" w14:textId="59FE516E" w:rsidR="00532A76" w:rsidRDefault="004A7A2D" w:rsidP="003076E4">
      <w:pPr>
        <w:spacing w:after="0"/>
      </w:pPr>
      <w:r>
        <w:t>Tal como se adelantó, c</w:t>
      </w:r>
      <w:r w:rsidR="00532A76">
        <w:t>uando se les pregunta si, en general, tienen una vida mejor, peor o más o menos similar a la de sus padres, el 51% de los encuestados afirma que su vida es mejor, el 23% peor, el 23% más o menos igual y el 3% no contesta (se niega o no sabe). Si se redondea, en todo el mundo hay casi 30 puntos de diferencia entre las opiniones positivas y negativas sobre la tendencia intergeneracional del bienestar.</w:t>
      </w:r>
      <w:r w:rsidR="00F35D16">
        <w:t xml:space="preserve"> </w:t>
      </w:r>
    </w:p>
    <w:p w14:paraId="0C86D2EA" w14:textId="77777777" w:rsidR="003076E4" w:rsidRDefault="003076E4" w:rsidP="003076E4">
      <w:pPr>
        <w:spacing w:after="0"/>
      </w:pPr>
    </w:p>
    <w:p w14:paraId="0B34C5F3" w14:textId="2B560857" w:rsidR="004B5475" w:rsidRDefault="004B5475" w:rsidP="003076E4">
      <w:pPr>
        <w:spacing w:after="0"/>
        <w:jc w:val="center"/>
        <w:rPr>
          <w:rFonts w:ascii="Calibri" w:eastAsia="Times New Roman" w:hAnsi="Calibri" w:cs="Calibri Light"/>
          <w:b/>
          <w:szCs w:val="24"/>
          <w:lang w:val="es-ES" w:eastAsia="it-IT"/>
        </w:rPr>
      </w:pPr>
      <w:r w:rsidRPr="00B12EB2">
        <w:rPr>
          <w:rFonts w:ascii="Calibri" w:eastAsia="Times New Roman" w:hAnsi="Calibri" w:cs="Calibri Light"/>
          <w:b/>
          <w:szCs w:val="24"/>
          <w:lang w:val="es-ES" w:eastAsia="it-IT"/>
        </w:rPr>
        <w:t>“</w:t>
      </w:r>
      <w:proofErr w:type="gramStart"/>
      <w:r w:rsidRPr="00E24343">
        <w:rPr>
          <w:rFonts w:ascii="Calibri" w:eastAsia="Times New Roman" w:hAnsi="Calibri" w:cs="Calibri Light"/>
          <w:b/>
          <w:szCs w:val="24"/>
          <w:lang w:val="es-ES" w:eastAsia="it-IT"/>
        </w:rPr>
        <w:t>Cree Ud. que, en general, tiene una vida mejor, peor o casi igual a la de sus padres?</w:t>
      </w:r>
      <w:proofErr w:type="gramEnd"/>
      <w:r w:rsidRPr="00B12EB2">
        <w:rPr>
          <w:rFonts w:ascii="Calibri" w:eastAsia="Times New Roman" w:hAnsi="Calibri" w:cs="Calibri Light"/>
          <w:b/>
          <w:szCs w:val="24"/>
          <w:lang w:val="es-ES" w:eastAsia="it-IT"/>
        </w:rPr>
        <w:t>”</w:t>
      </w:r>
    </w:p>
    <w:p w14:paraId="029AA491" w14:textId="77777777" w:rsidR="004B5475" w:rsidRDefault="004B5475" w:rsidP="003076E4">
      <w:pPr>
        <w:spacing w:after="0"/>
        <w:jc w:val="center"/>
        <w:rPr>
          <w:rFonts w:ascii="Calibri" w:eastAsia="Times New Roman" w:hAnsi="Calibri" w:cs="Calibri Light"/>
          <w:b/>
          <w:szCs w:val="24"/>
          <w:lang w:val="es-ES" w:eastAsia="it-IT"/>
        </w:rPr>
      </w:pPr>
      <w:r>
        <w:rPr>
          <w:rFonts w:ascii="Calibri" w:eastAsia="Times New Roman" w:hAnsi="Calibri" w:cs="Calibri Light"/>
          <w:b/>
          <w:szCs w:val="24"/>
          <w:lang w:val="es-ES" w:eastAsia="it-IT"/>
        </w:rPr>
        <w:t>RESULTADOS GLOBALES Y REGIONALES</w:t>
      </w:r>
    </w:p>
    <w:p w14:paraId="01A80561" w14:textId="77777777" w:rsidR="004B5475" w:rsidRDefault="004B5475" w:rsidP="00932631">
      <w:pPr>
        <w:spacing w:after="0"/>
        <w:rPr>
          <w:rFonts w:ascii="Calibri" w:eastAsia="Times New Roman" w:hAnsi="Calibri" w:cs="Calibri Light"/>
          <w:b/>
          <w:noProof/>
          <w:szCs w:val="24"/>
          <w:lang w:eastAsia="es-AR"/>
        </w:rPr>
      </w:pPr>
      <w:r>
        <w:rPr>
          <w:rFonts w:ascii="Calibri" w:eastAsia="Times New Roman" w:hAnsi="Calibri" w:cs="Calibri Light"/>
          <w:b/>
          <w:noProof/>
          <w:szCs w:val="24"/>
          <w:lang w:eastAsia="es-AR"/>
        </w:rPr>
        <w:drawing>
          <wp:inline distT="0" distB="0" distL="0" distR="0" wp14:anchorId="55EA43FF" wp14:editId="0B992ADD">
            <wp:extent cx="6421755" cy="2296633"/>
            <wp:effectExtent l="0" t="0" r="17145" b="889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5E2FE48" w14:textId="77777777" w:rsidR="00104870" w:rsidRDefault="00104870" w:rsidP="003076E4">
      <w:pPr>
        <w:pStyle w:val="Body"/>
        <w:spacing w:line="276" w:lineRule="auto"/>
        <w:ind w:firstLine="708"/>
        <w:rPr>
          <w:rFonts w:ascii="Calibri" w:eastAsia="Calibri" w:hAnsi="Calibri" w:cs="Calibri"/>
          <w:sz w:val="16"/>
          <w:szCs w:val="16"/>
          <w:lang w:val="es-AR"/>
        </w:rPr>
      </w:pPr>
      <w:proofErr w:type="gramStart"/>
      <w:r>
        <w:rPr>
          <w:rFonts w:ascii="Calibri" w:eastAsia="Calibri" w:hAnsi="Calibri" w:cs="Calibri"/>
          <w:sz w:val="16"/>
          <w:szCs w:val="16"/>
          <w:lang w:val="es-AR"/>
        </w:rPr>
        <w:t xml:space="preserve">Encuesta Global, 64 países, </w:t>
      </w:r>
      <w:r w:rsidRPr="000F3CC5">
        <w:rPr>
          <w:rFonts w:ascii="Calibri" w:eastAsia="Calibri" w:hAnsi="Calibri" w:cs="Calibri"/>
          <w:sz w:val="16"/>
          <w:szCs w:val="16"/>
          <w:lang w:val="es-AR"/>
        </w:rPr>
        <w:t>VOICES!</w:t>
      </w:r>
      <w:proofErr w:type="gramEnd"/>
      <w:r w:rsidRPr="000F3CC5">
        <w:rPr>
          <w:rFonts w:ascii="Calibri" w:eastAsia="Calibri" w:hAnsi="Calibri" w:cs="Calibri"/>
          <w:sz w:val="16"/>
          <w:szCs w:val="16"/>
          <w:lang w:val="es-AR"/>
        </w:rPr>
        <w:t xml:space="preserve"> en Argentina</w:t>
      </w:r>
    </w:p>
    <w:p w14:paraId="1085A2F7" w14:textId="77777777" w:rsidR="00932631" w:rsidRDefault="00932631" w:rsidP="003076E4">
      <w:pPr>
        <w:spacing w:after="0"/>
        <w:jc w:val="both"/>
      </w:pPr>
    </w:p>
    <w:p w14:paraId="1041E8CB" w14:textId="03773DAC" w:rsidR="00532A76" w:rsidRDefault="00532A76" w:rsidP="003076E4">
      <w:pPr>
        <w:spacing w:after="0"/>
        <w:jc w:val="both"/>
      </w:pPr>
      <w:r>
        <w:lastRenderedPageBreak/>
        <w:t>El país más positivo de los 64</w:t>
      </w:r>
      <w:r w:rsidR="004A7A2D">
        <w:t>,</w:t>
      </w:r>
      <w:r>
        <w:t xml:space="preserve"> es Vietnam: el 83% opta por "mejor" y el 4% por "peor", lo que supone una diferencia de 79 puntos. Y el más negativo es Moldavia (32% "mejor" y 45% "peor", lo que supone una diferencia negativa de -13 puntos).</w:t>
      </w:r>
      <w:r w:rsidR="00F35D16">
        <w:t xml:space="preserve"> </w:t>
      </w:r>
    </w:p>
    <w:p w14:paraId="1BEEB366" w14:textId="77777777" w:rsidR="003076E4" w:rsidRDefault="003076E4" w:rsidP="003076E4">
      <w:pPr>
        <w:spacing w:after="0"/>
        <w:jc w:val="both"/>
      </w:pPr>
    </w:p>
    <w:p w14:paraId="4B8C75DF" w14:textId="2F6509AD" w:rsidR="00532A76" w:rsidRDefault="00532A76" w:rsidP="003076E4">
      <w:pPr>
        <w:spacing w:after="0"/>
        <w:jc w:val="both"/>
      </w:pPr>
      <w:r>
        <w:t xml:space="preserve">Por regiones, en términos de </w:t>
      </w:r>
      <w:r w:rsidRPr="00DB7E5F">
        <w:t>diferenciales, la tendencia parece más positiva en Asia Oriental/Oceanía (58% "mejor", 13% "peor"), seguida</w:t>
      </w:r>
      <w:r>
        <w:t xml:space="preserve"> de América del Norte (58% "mejor", 17% "peor"), África Subsahariana y Asia Meridional (56% "mejor", 24% "peor" y 60% "mejor", 28% "peor" - diferenciales </w:t>
      </w:r>
      <w:proofErr w:type="gramStart"/>
      <w:r>
        <w:t>iguales</w:t>
      </w:r>
      <w:proofErr w:type="gramEnd"/>
      <w:r>
        <w:t xml:space="preserve"> aunque porcentajes diferentes). A </w:t>
      </w:r>
      <w:r w:rsidR="004A7A2D">
        <w:t>continuación,</w:t>
      </w:r>
      <w:r>
        <w:t xml:space="preserve"> vienen América Latina (47% "mejor", 19% "peor"), Europa (49% "mejor", 22% "peor", con casi los mismos porcentajes de 27 y 26 puntos para los países europeos pertenecientes y no pertenecientes a la UE) y Oriente Medio y Norte de África (47% "mejor", 25% "peor"). Asia Occidental, representada por Afganistán, es un caso atípico con sólo 1 punto (40% "mejor", 39% "peor").</w:t>
      </w:r>
      <w:r w:rsidR="00F35D16">
        <w:t xml:space="preserve"> </w:t>
      </w:r>
    </w:p>
    <w:p w14:paraId="5230FF79" w14:textId="77777777" w:rsidR="003076E4" w:rsidRDefault="003076E4" w:rsidP="003076E4">
      <w:pPr>
        <w:spacing w:after="0"/>
        <w:jc w:val="both"/>
      </w:pPr>
    </w:p>
    <w:p w14:paraId="6692BE18" w14:textId="3CC5A5B1" w:rsidR="00532A76" w:rsidRDefault="001A099A" w:rsidP="003076E4">
      <w:pPr>
        <w:spacing w:after="0"/>
      </w:pPr>
      <w:r w:rsidRPr="001B02D3">
        <w:t>Al</w:t>
      </w:r>
      <w:r w:rsidR="000B35BF" w:rsidRPr="001B02D3">
        <w:t xml:space="preserve"> ordenar los países </w:t>
      </w:r>
      <w:r w:rsidR="00532A76" w:rsidRPr="001B02D3">
        <w:t xml:space="preserve">por la diferencia entre "mejor" y "peor", los resultados positivos son más altos en </w:t>
      </w:r>
      <w:r w:rsidR="004A7A2D" w:rsidRPr="001B02D3">
        <w:t xml:space="preserve">Vietnam (83% "mejor" frente a 4% "peor"), </w:t>
      </w:r>
      <w:r w:rsidR="00532A76" w:rsidRPr="001B02D3">
        <w:t>Nigeria (81% "mejor" frente a 9% "peor"), EE.UU. (60% "mejor", 15% "peor"), México (57% "mejor", 16% "peor"), Rusia (48% "mejor", 12% "peor") e India (54% "mejor", 30% "peor").</w:t>
      </w:r>
      <w:r w:rsidR="00F35D16">
        <w:t xml:space="preserve"> </w:t>
      </w:r>
    </w:p>
    <w:p w14:paraId="05723DE3" w14:textId="77777777" w:rsidR="003076E4" w:rsidRDefault="003076E4" w:rsidP="003076E4">
      <w:pPr>
        <w:spacing w:after="0"/>
      </w:pPr>
    </w:p>
    <w:p w14:paraId="0550976C" w14:textId="631D781D" w:rsidR="004B5475" w:rsidRDefault="00D143B4" w:rsidP="003076E4">
      <w:pPr>
        <w:spacing w:after="0"/>
        <w:jc w:val="both"/>
      </w:pPr>
      <w:r>
        <w:t>C</w:t>
      </w:r>
      <w:r w:rsidR="00532A76">
        <w:t xml:space="preserve">uando se les pregunta por </w:t>
      </w:r>
      <w:r>
        <w:t xml:space="preserve">el futuro de </w:t>
      </w:r>
      <w:r w:rsidR="00532A76">
        <w:t>los niños de hoy, en comparación con la nuestra, las opiniones a nivel mundial son ligeramente menos positivas: el 44% espera una vida mejor para sus hijos, el 28% espera una vida peor, el 20% espera más o menos lo mismo y el 8% no responde. Así pues, en todo el mundo hay una diferencia de 16 puntos entre las expectativas positivas y negativas sobre la vida de los niños de hoy. Las expectativas para esta generación parecen menos positivas que en comparación con la anterior. Sin embargo, dados todos los retos a los que nos enfrentamos (guerra, inflación, pandemias, cambio climático) este nivel de expectativas positivas es un</w:t>
      </w:r>
      <w:r w:rsidR="00F35D16">
        <w:t>a especie de sorpresa positiva.</w:t>
      </w:r>
      <w:r w:rsidR="00532A76">
        <w:t xml:space="preserve"> </w:t>
      </w:r>
    </w:p>
    <w:p w14:paraId="548AB432" w14:textId="0ABCE4FE" w:rsidR="00106E35" w:rsidRDefault="00106E35" w:rsidP="003076E4">
      <w:pPr>
        <w:spacing w:after="0"/>
        <w:rPr>
          <w:rFonts w:ascii="Calibri" w:eastAsia="Times New Roman" w:hAnsi="Calibri" w:cs="Calibri Light"/>
          <w:b/>
          <w:szCs w:val="24"/>
          <w:lang w:val="es-ES" w:eastAsia="it-IT"/>
        </w:rPr>
      </w:pPr>
    </w:p>
    <w:p w14:paraId="7FCDC6EC" w14:textId="2237DFA0" w:rsidR="004B5475" w:rsidRPr="00B12EB2" w:rsidRDefault="00104870" w:rsidP="003076E4">
      <w:pPr>
        <w:spacing w:after="0"/>
        <w:jc w:val="center"/>
        <w:rPr>
          <w:rFonts w:ascii="Calibri" w:eastAsia="Times New Roman" w:hAnsi="Calibri" w:cs="Calibri Light"/>
          <w:b/>
          <w:szCs w:val="24"/>
          <w:lang w:val="es-ES" w:eastAsia="it-IT"/>
        </w:rPr>
      </w:pPr>
      <w:r w:rsidRPr="00B12EB2">
        <w:rPr>
          <w:rFonts w:ascii="Calibri" w:eastAsia="Times New Roman" w:hAnsi="Calibri" w:cs="Calibri Light"/>
          <w:b/>
          <w:szCs w:val="24"/>
          <w:lang w:val="es-ES" w:eastAsia="it-IT"/>
        </w:rPr>
        <w:t xml:space="preserve"> </w:t>
      </w:r>
      <w:r w:rsidR="004B5475" w:rsidRPr="00B12EB2">
        <w:rPr>
          <w:rFonts w:ascii="Calibri" w:eastAsia="Times New Roman" w:hAnsi="Calibri" w:cs="Calibri Light"/>
          <w:b/>
          <w:szCs w:val="24"/>
          <w:lang w:val="es-ES" w:eastAsia="it-IT"/>
        </w:rPr>
        <w:t>“</w:t>
      </w:r>
      <w:r w:rsidR="004B5475">
        <w:rPr>
          <w:rFonts w:ascii="Calibri" w:eastAsia="Times New Roman" w:hAnsi="Calibri" w:cs="Calibri Light"/>
          <w:b/>
          <w:szCs w:val="24"/>
          <w:lang w:val="es-ES" w:eastAsia="it-IT"/>
        </w:rPr>
        <w:t>¿C</w:t>
      </w:r>
      <w:r w:rsidR="004B5475" w:rsidRPr="00E24343">
        <w:rPr>
          <w:rFonts w:ascii="Calibri" w:eastAsia="Times New Roman" w:hAnsi="Calibri" w:cs="Calibri Light"/>
          <w:b/>
          <w:szCs w:val="24"/>
          <w:lang w:val="es-ES" w:eastAsia="it-IT"/>
        </w:rPr>
        <w:t>ree que los niños de hoy tendrán una vida mejor</w:t>
      </w:r>
      <w:r w:rsidR="004B5475">
        <w:rPr>
          <w:rFonts w:ascii="Calibri" w:eastAsia="Times New Roman" w:hAnsi="Calibri" w:cs="Calibri Light"/>
          <w:b/>
          <w:szCs w:val="24"/>
          <w:lang w:val="es-ES" w:eastAsia="it-IT"/>
        </w:rPr>
        <w:t>, peor o casi igual que la suya</w:t>
      </w:r>
      <w:r w:rsidR="004B5475" w:rsidRPr="00E24343">
        <w:rPr>
          <w:rFonts w:ascii="Calibri" w:eastAsia="Times New Roman" w:hAnsi="Calibri" w:cs="Calibri Light"/>
          <w:b/>
          <w:szCs w:val="24"/>
          <w:lang w:val="es-ES" w:eastAsia="it-IT"/>
        </w:rPr>
        <w:t>?</w:t>
      </w:r>
      <w:r w:rsidR="004B5475" w:rsidRPr="00B12EB2">
        <w:rPr>
          <w:rFonts w:ascii="Calibri" w:eastAsia="Times New Roman" w:hAnsi="Calibri" w:cs="Calibri Light"/>
          <w:b/>
          <w:szCs w:val="24"/>
          <w:lang w:val="es-ES" w:eastAsia="it-IT"/>
        </w:rPr>
        <w:t>”</w:t>
      </w:r>
    </w:p>
    <w:p w14:paraId="145550E3" w14:textId="682FCF68" w:rsidR="004B5475" w:rsidRDefault="004B5475" w:rsidP="003076E4">
      <w:pPr>
        <w:spacing w:after="0"/>
        <w:jc w:val="center"/>
        <w:rPr>
          <w:rFonts w:ascii="Calibri" w:eastAsia="Times New Roman" w:hAnsi="Calibri" w:cs="Calibri Light"/>
          <w:b/>
          <w:szCs w:val="24"/>
          <w:lang w:val="es-ES" w:eastAsia="it-IT"/>
        </w:rPr>
      </w:pPr>
      <w:r>
        <w:rPr>
          <w:rFonts w:ascii="Calibri" w:eastAsia="Times New Roman" w:hAnsi="Calibri" w:cs="Calibri Light"/>
          <w:b/>
          <w:szCs w:val="24"/>
          <w:lang w:val="es-ES" w:eastAsia="it-IT"/>
        </w:rPr>
        <w:t>RESULTADOS GLOBALES Y REGIONALES</w:t>
      </w:r>
    </w:p>
    <w:p w14:paraId="0D34C28B" w14:textId="77777777" w:rsidR="00106E35" w:rsidRDefault="00106E35" w:rsidP="003076E4">
      <w:pPr>
        <w:spacing w:after="0"/>
        <w:jc w:val="center"/>
        <w:rPr>
          <w:rFonts w:ascii="Calibri" w:eastAsia="Times New Roman" w:hAnsi="Calibri" w:cs="Calibri Light"/>
          <w:b/>
          <w:szCs w:val="24"/>
          <w:lang w:val="es-ES" w:eastAsia="it-IT"/>
        </w:rPr>
      </w:pPr>
    </w:p>
    <w:p w14:paraId="280CBF67" w14:textId="77777777" w:rsidR="004B5475" w:rsidRDefault="004B5475" w:rsidP="003076E4">
      <w:pPr>
        <w:spacing w:after="0"/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 wp14:anchorId="780C927F" wp14:editId="52388DE9">
            <wp:extent cx="6325870" cy="2647507"/>
            <wp:effectExtent l="0" t="0" r="17780" b="63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C1788F8" w14:textId="77777777" w:rsidR="00104870" w:rsidRDefault="00104870" w:rsidP="003076E4">
      <w:pPr>
        <w:pStyle w:val="Body"/>
        <w:spacing w:line="276" w:lineRule="auto"/>
        <w:ind w:firstLine="708"/>
        <w:rPr>
          <w:rFonts w:ascii="Calibri" w:eastAsia="Calibri" w:hAnsi="Calibri" w:cs="Calibri"/>
          <w:sz w:val="16"/>
          <w:szCs w:val="16"/>
          <w:lang w:val="es-AR"/>
        </w:rPr>
      </w:pPr>
      <w:proofErr w:type="gramStart"/>
      <w:r>
        <w:rPr>
          <w:rFonts w:ascii="Calibri" w:eastAsia="Calibri" w:hAnsi="Calibri" w:cs="Calibri"/>
          <w:sz w:val="16"/>
          <w:szCs w:val="16"/>
          <w:lang w:val="es-AR"/>
        </w:rPr>
        <w:t xml:space="preserve">Encuesta Global, 64 países, </w:t>
      </w:r>
      <w:r w:rsidRPr="000F3CC5">
        <w:rPr>
          <w:rFonts w:ascii="Calibri" w:eastAsia="Calibri" w:hAnsi="Calibri" w:cs="Calibri"/>
          <w:sz w:val="16"/>
          <w:szCs w:val="16"/>
          <w:lang w:val="es-AR"/>
        </w:rPr>
        <w:t>VOICES!</w:t>
      </w:r>
      <w:proofErr w:type="gramEnd"/>
      <w:r w:rsidRPr="000F3CC5">
        <w:rPr>
          <w:rFonts w:ascii="Calibri" w:eastAsia="Calibri" w:hAnsi="Calibri" w:cs="Calibri"/>
          <w:sz w:val="16"/>
          <w:szCs w:val="16"/>
          <w:lang w:val="es-AR"/>
        </w:rPr>
        <w:t xml:space="preserve"> en Argentina</w:t>
      </w:r>
    </w:p>
    <w:p w14:paraId="01DC6D32" w14:textId="77777777" w:rsidR="003076E4" w:rsidRDefault="003076E4" w:rsidP="003076E4">
      <w:pPr>
        <w:spacing w:after="0"/>
        <w:jc w:val="both"/>
      </w:pPr>
      <w:bookmarkStart w:id="0" w:name="_GoBack"/>
      <w:bookmarkEnd w:id="0"/>
    </w:p>
    <w:p w14:paraId="7DEE4E8F" w14:textId="0055D343" w:rsidR="00F671A5" w:rsidRDefault="001E01F9" w:rsidP="003076E4">
      <w:pPr>
        <w:spacing w:after="0"/>
        <w:jc w:val="both"/>
      </w:pPr>
      <w:r>
        <w:lastRenderedPageBreak/>
        <w:t>Cuanto</w:t>
      </w:r>
      <w:r w:rsidR="00532A76">
        <w:t xml:space="preserve"> mayores son los encuestados, menos seguros están de las perspectivas de la infancia actual. Por ejemplo, en el grupo de más de 55 años la estructura es la siguiente: 39% "mejor" menos 31% "peor" y una diferencia relativamente pequeña, en comparación con una diferencia significativa de 22 puntos (48% frente a 26%) en el grupo de menores de 35 años. </w:t>
      </w:r>
    </w:p>
    <w:p w14:paraId="77965860" w14:textId="77777777" w:rsidR="003076E4" w:rsidRDefault="003076E4" w:rsidP="003076E4">
      <w:pPr>
        <w:spacing w:after="0"/>
        <w:jc w:val="both"/>
      </w:pPr>
    </w:p>
    <w:p w14:paraId="7DAAF2F7" w14:textId="5DC96410" w:rsidR="00106E35" w:rsidRDefault="00106E35" w:rsidP="003076E4">
      <w:pPr>
        <w:spacing w:after="0"/>
        <w:jc w:val="both"/>
      </w:pPr>
      <w:r>
        <w:t>La</w:t>
      </w:r>
      <w:r w:rsidR="00532A76" w:rsidRPr="00D143B4">
        <w:t xml:space="preserve">s </w:t>
      </w:r>
      <w:r>
        <w:t>personas más rica</w:t>
      </w:r>
      <w:r w:rsidR="00532A76" w:rsidRPr="00D143B4">
        <w:t xml:space="preserve">s parecen tener más confianza en el futuro que pueden proporcionar a sus hijos (24 puntos en los estratos de renta más altos) que los más pobres (11 puntos en los estratos del grupo de renta más bajo). </w:t>
      </w:r>
    </w:p>
    <w:p w14:paraId="121099F3" w14:textId="77777777" w:rsidR="003076E4" w:rsidRDefault="003076E4" w:rsidP="003076E4">
      <w:pPr>
        <w:spacing w:after="0"/>
        <w:jc w:val="both"/>
      </w:pPr>
    </w:p>
    <w:p w14:paraId="3A48B431" w14:textId="127E0FC9" w:rsidR="00532A76" w:rsidRPr="00301DCF" w:rsidRDefault="00106E35" w:rsidP="003076E4">
      <w:pPr>
        <w:spacing w:after="0"/>
        <w:jc w:val="both"/>
      </w:pPr>
      <w:r w:rsidRPr="00301DCF">
        <w:t xml:space="preserve">Al considerar </w:t>
      </w:r>
      <w:r w:rsidR="0097407D" w:rsidRPr="00301DCF">
        <w:t>las regiones</w:t>
      </w:r>
      <w:r w:rsidRPr="00301DCF">
        <w:t xml:space="preserve"> del mundo </w:t>
      </w:r>
      <w:r w:rsidR="00532A76" w:rsidRPr="00301DCF">
        <w:t xml:space="preserve">las expectativas de futuro son más </w:t>
      </w:r>
      <w:r w:rsidR="0097407D" w:rsidRPr="00301DCF">
        <w:t xml:space="preserve">favorables </w:t>
      </w:r>
      <w:r w:rsidR="00532A76" w:rsidRPr="00301DCF">
        <w:t>en Europa no comunitaria</w:t>
      </w:r>
      <w:r w:rsidR="001C13CF" w:rsidRPr="00301DCF">
        <w:t xml:space="preserve"> (54% "mejor", 22% "peor) y África Subsahariana (59% "mejor", 27% "peor), ambas</w:t>
      </w:r>
      <w:r w:rsidR="00532A76" w:rsidRPr="00301DCF">
        <w:t xml:space="preserve"> con 32 puntos</w:t>
      </w:r>
      <w:r w:rsidR="0097407D" w:rsidRPr="00301DCF">
        <w:t xml:space="preserve"> </w:t>
      </w:r>
      <w:r w:rsidR="001C13CF" w:rsidRPr="00301DCF">
        <w:t xml:space="preserve">de </w:t>
      </w:r>
      <w:r w:rsidR="0097407D" w:rsidRPr="00301DCF">
        <w:t>score mejor- peor</w:t>
      </w:r>
      <w:r w:rsidR="001C13CF" w:rsidRPr="00301DCF">
        <w:t xml:space="preserve">. Les siguen </w:t>
      </w:r>
      <w:r w:rsidR="00532A76" w:rsidRPr="00301DCF">
        <w:t>Asia Meridional y Asia Oriental/Oceanía (ambos en torno a 30 puntos 56% "mejor", 25% "peor" para Asia Meridional; 48% "mejor", 18% "peor" para Asia Oriental/Oceanía), MENA (28 pu</w:t>
      </w:r>
      <w:r w:rsidRPr="00301DCF">
        <w:t xml:space="preserve">ntos; 52% "mejor", 24% "peor"). </w:t>
      </w:r>
      <w:r w:rsidR="001C13CF" w:rsidRPr="00301DCF">
        <w:t xml:space="preserve"> </w:t>
      </w:r>
      <w:r w:rsidRPr="00301DCF">
        <w:t xml:space="preserve">Por el otro lado las regiones menos optimistas son </w:t>
      </w:r>
      <w:r w:rsidR="00532A76" w:rsidRPr="00301DCF">
        <w:t>América Latina (11 puntos</w:t>
      </w:r>
      <w:r w:rsidR="0097407D" w:rsidRPr="00301DCF">
        <w:t xml:space="preserve"> de diferencia</w:t>
      </w:r>
      <w:r w:rsidR="00532A76" w:rsidRPr="00301DCF">
        <w:t xml:space="preserve">; 40% "mejor", 29% "peor"), América del Norte (8 puntos; 40% "mejor", 32% "peor"), la </w:t>
      </w:r>
      <w:r w:rsidR="001C13CF" w:rsidRPr="00301DCF">
        <w:t xml:space="preserve">Unión Europea </w:t>
      </w:r>
      <w:r w:rsidR="00532A76" w:rsidRPr="00301DCF">
        <w:t>(-4 puntos; 30% "mejor", 34% "peor") y Asia Occidental (</w:t>
      </w:r>
      <w:r w:rsidR="0097407D" w:rsidRPr="00301DCF">
        <w:t xml:space="preserve">- 5 puntos </w:t>
      </w:r>
      <w:r w:rsidR="00532A76" w:rsidRPr="00301DCF">
        <w:t>36% "mejor", 42% "peor").</w:t>
      </w:r>
      <w:r w:rsidR="00532A76">
        <w:t xml:space="preserve">    </w:t>
      </w:r>
    </w:p>
    <w:p w14:paraId="1235998A" w14:textId="3F89E6E5" w:rsidR="00532A76" w:rsidRDefault="00532A76" w:rsidP="003076E4">
      <w:pPr>
        <w:spacing w:after="0"/>
        <w:jc w:val="both"/>
      </w:pPr>
      <w:r w:rsidRPr="00301DCF">
        <w:t>El país más positivo entre los encues</w:t>
      </w:r>
      <w:r w:rsidR="00301DCF">
        <w:t>tados es Nigeria (90</w:t>
      </w:r>
      <w:proofErr w:type="gramStart"/>
      <w:r w:rsidR="00301DCF">
        <w:t>%</w:t>
      </w:r>
      <w:r w:rsidR="00301DCF" w:rsidRPr="00301DCF">
        <w:t>) ,Kosovo</w:t>
      </w:r>
      <w:proofErr w:type="gramEnd"/>
      <w:r w:rsidR="00301DCF" w:rsidRPr="00301DCF">
        <w:t xml:space="preserve"> (82%)  y luego Emiratos Árabes (76%)</w:t>
      </w:r>
      <w:r w:rsidR="00301DCF">
        <w:t xml:space="preserve"> </w:t>
      </w:r>
      <w:r w:rsidR="00301DCF" w:rsidRPr="00301DCF">
        <w:t xml:space="preserve">mientras los </w:t>
      </w:r>
      <w:r w:rsidRPr="00301DCF">
        <w:t>más negativo</w:t>
      </w:r>
      <w:r w:rsidR="00301DCF" w:rsidRPr="00301DCF">
        <w:t>s</w:t>
      </w:r>
      <w:r w:rsidRPr="00301DCF">
        <w:t xml:space="preserve"> Eslovenia a (53%</w:t>
      </w:r>
      <w:r w:rsidR="003076E4">
        <w:t xml:space="preserve"> -dice peor- e Italia 43%).</w:t>
      </w:r>
    </w:p>
    <w:p w14:paraId="286BB609" w14:textId="77777777" w:rsidR="003076E4" w:rsidRPr="00301DCF" w:rsidRDefault="003076E4" w:rsidP="003076E4">
      <w:pPr>
        <w:spacing w:after="0"/>
        <w:jc w:val="both"/>
      </w:pPr>
    </w:p>
    <w:p w14:paraId="211984F8" w14:textId="47333EC0" w:rsidR="0037517C" w:rsidRDefault="00C2412B" w:rsidP="003076E4">
      <w:pPr>
        <w:spacing w:after="0"/>
        <w:rPr>
          <w:rFonts w:ascii="Calibri" w:eastAsia="Times New Roman" w:hAnsi="Calibri" w:cs="Calibri Light"/>
          <w:b/>
          <w:szCs w:val="24"/>
          <w:lang w:val="es-ES" w:eastAsia="it-IT"/>
        </w:rPr>
      </w:pPr>
      <w:r>
        <w:rPr>
          <w:rFonts w:ascii="Calibri" w:eastAsia="Times New Roman" w:hAnsi="Calibri" w:cs="Calibri Light"/>
          <w:b/>
          <w:szCs w:val="24"/>
          <w:lang w:val="es-ES" w:eastAsia="it-IT"/>
        </w:rPr>
        <w:t>RESULTADOS DE ARGENTINA</w:t>
      </w:r>
    </w:p>
    <w:p w14:paraId="13FB3088" w14:textId="77777777" w:rsidR="003076E4" w:rsidRDefault="003076E4" w:rsidP="003076E4">
      <w:pPr>
        <w:spacing w:after="0"/>
        <w:rPr>
          <w:rFonts w:ascii="Calibri" w:eastAsia="Times New Roman" w:hAnsi="Calibri" w:cs="Calibri Light"/>
          <w:b/>
          <w:szCs w:val="24"/>
          <w:lang w:val="es-ES" w:eastAsia="it-IT"/>
        </w:rPr>
      </w:pPr>
    </w:p>
    <w:p w14:paraId="6B0EED4A" w14:textId="20D7CBA8" w:rsidR="0037517C" w:rsidRPr="004A7A2D" w:rsidRDefault="0037517C" w:rsidP="003076E4">
      <w:pPr>
        <w:spacing w:after="0"/>
      </w:pPr>
      <w:r w:rsidRPr="0037517C">
        <w:t>A</w:t>
      </w:r>
      <w:r>
        <w:t xml:space="preserve">l analizar los resultados de </w:t>
      </w:r>
      <w:r w:rsidR="00AA261F">
        <w:t>A</w:t>
      </w:r>
      <w:r>
        <w:t xml:space="preserve">rgentina vemos que el 46% de los encuestados </w:t>
      </w:r>
      <w:r w:rsidR="00B208A1">
        <w:t>expresó que</w:t>
      </w:r>
      <w:r>
        <w:t xml:space="preserve"> </w:t>
      </w:r>
      <w:r w:rsidR="00C2412B">
        <w:t>están</w:t>
      </w:r>
      <w:r>
        <w:t xml:space="preserve"> mejor</w:t>
      </w:r>
      <w:r w:rsidR="00C2412B">
        <w:t xml:space="preserve"> que sus padres, un 19% que están peor y un 30% sostiene que están igual. Los resultados de nuestro país son similares a Latinoamérica, pero inferiores al total mundial donde el 51% declaro estar mejor (vs 46% de </w:t>
      </w:r>
      <w:r w:rsidR="00AA261F">
        <w:t>A</w:t>
      </w:r>
      <w:r w:rsidR="00C2412B">
        <w:t>rgentina)</w:t>
      </w:r>
      <w:r w:rsidR="00AA261F">
        <w:t>.</w:t>
      </w:r>
      <w:r w:rsidR="00C2412B">
        <w:t xml:space="preserve"> En el análisis por segmentos se advierten resultados similares por género, mientras que por edad consideran que </w:t>
      </w:r>
      <w:r w:rsidR="004A7A2D">
        <w:t>están</w:t>
      </w:r>
      <w:r w:rsidR="00C2412B">
        <w:t xml:space="preserve"> mejor en mayor </w:t>
      </w:r>
      <w:r w:rsidR="00B208A1">
        <w:t>medida</w:t>
      </w:r>
      <w:r w:rsidR="00C2412B">
        <w:t xml:space="preserve"> los mayores</w:t>
      </w:r>
      <w:r w:rsidR="00B208A1">
        <w:t xml:space="preserve"> de 65 </w:t>
      </w:r>
      <w:r w:rsidR="004A7A2D">
        <w:t>años (</w:t>
      </w:r>
      <w:r w:rsidR="00C2412B">
        <w:t>57% vs</w:t>
      </w:r>
      <w:r w:rsidR="00B208A1">
        <w:t>.42% los menores de 35 años</w:t>
      </w:r>
      <w:r w:rsidR="004A7A2D">
        <w:t>)</w:t>
      </w:r>
      <w:r w:rsidR="00B208A1">
        <w:t>. También declaran estar mejor los residentes de CABA (54% vs 44% del interior</w:t>
      </w:r>
      <w:r w:rsidR="004A7A2D">
        <w:t xml:space="preserve"> del país</w:t>
      </w:r>
      <w:r w:rsidR="00B208A1">
        <w:t xml:space="preserve">) y los de mayor poder adquisitivo 50%, vs. </w:t>
      </w:r>
      <w:r w:rsidR="004A7A2D">
        <w:t>45% el resto de los individuos).</w:t>
      </w:r>
    </w:p>
    <w:p w14:paraId="36B22FDC" w14:textId="77777777" w:rsidR="0037517C" w:rsidRDefault="0037517C" w:rsidP="003076E4">
      <w:pPr>
        <w:spacing w:after="0"/>
        <w:jc w:val="center"/>
        <w:rPr>
          <w:rFonts w:ascii="Calibri" w:eastAsia="Times New Roman" w:hAnsi="Calibri" w:cs="Calibri Light"/>
          <w:b/>
          <w:szCs w:val="24"/>
          <w:lang w:val="es-ES" w:eastAsia="it-IT"/>
        </w:rPr>
      </w:pPr>
    </w:p>
    <w:p w14:paraId="6CE2EE0D" w14:textId="268190A6" w:rsidR="0027043F" w:rsidRDefault="0027043F" w:rsidP="003076E4">
      <w:pPr>
        <w:spacing w:after="0"/>
        <w:rPr>
          <w:rFonts w:ascii="Calibri" w:eastAsia="Times New Roman" w:hAnsi="Calibri" w:cs="Calibri Light"/>
          <w:b/>
          <w:szCs w:val="24"/>
          <w:lang w:val="es-ES" w:eastAsia="it-IT"/>
        </w:rPr>
      </w:pPr>
    </w:p>
    <w:p w14:paraId="58D34E79" w14:textId="77777777" w:rsidR="007A1A2C" w:rsidRPr="00B12EB2" w:rsidRDefault="007A1A2C" w:rsidP="003076E4">
      <w:pPr>
        <w:spacing w:after="0"/>
        <w:jc w:val="center"/>
        <w:rPr>
          <w:rFonts w:ascii="Calibri" w:eastAsia="Times New Roman" w:hAnsi="Calibri" w:cs="Calibri Light"/>
          <w:b/>
          <w:szCs w:val="24"/>
          <w:lang w:val="es-ES" w:eastAsia="it-IT"/>
        </w:rPr>
      </w:pPr>
      <w:r w:rsidRPr="00B12EB2">
        <w:rPr>
          <w:rFonts w:ascii="Calibri" w:eastAsia="Times New Roman" w:hAnsi="Calibri" w:cs="Calibri Light"/>
          <w:b/>
          <w:szCs w:val="24"/>
          <w:lang w:val="es-ES" w:eastAsia="it-IT"/>
        </w:rPr>
        <w:t>“</w:t>
      </w:r>
      <w:proofErr w:type="gramStart"/>
      <w:r w:rsidR="00E24343" w:rsidRPr="00E24343">
        <w:rPr>
          <w:rFonts w:ascii="Calibri" w:eastAsia="Times New Roman" w:hAnsi="Calibri" w:cs="Calibri Light"/>
          <w:b/>
          <w:szCs w:val="24"/>
          <w:lang w:val="es-ES" w:eastAsia="it-IT"/>
        </w:rPr>
        <w:t>Cree Ud. que, en general, tiene una vida mejor, peor o casi igual a la de sus padres?</w:t>
      </w:r>
      <w:proofErr w:type="gramEnd"/>
      <w:r w:rsidRPr="00B12EB2">
        <w:rPr>
          <w:rFonts w:ascii="Calibri" w:eastAsia="Times New Roman" w:hAnsi="Calibri" w:cs="Calibri Light"/>
          <w:b/>
          <w:szCs w:val="24"/>
          <w:lang w:val="es-ES" w:eastAsia="it-IT"/>
        </w:rPr>
        <w:t>”</w:t>
      </w:r>
    </w:p>
    <w:p w14:paraId="3D766B92" w14:textId="77777777" w:rsidR="007A1A2C" w:rsidRDefault="007A1A2C" w:rsidP="003076E4">
      <w:pPr>
        <w:spacing w:after="0"/>
        <w:jc w:val="center"/>
        <w:rPr>
          <w:rFonts w:ascii="Calibri" w:eastAsia="Times New Roman" w:hAnsi="Calibri" w:cs="Calibri Light"/>
          <w:b/>
          <w:szCs w:val="24"/>
          <w:lang w:val="es-ES" w:eastAsia="it-IT"/>
        </w:rPr>
      </w:pPr>
      <w:r w:rsidRPr="00B12EB2">
        <w:rPr>
          <w:rFonts w:ascii="Calibri" w:eastAsia="Times New Roman" w:hAnsi="Calibri" w:cs="Calibri Light"/>
          <w:b/>
          <w:szCs w:val="24"/>
          <w:lang w:val="es-ES" w:eastAsia="it-IT"/>
        </w:rPr>
        <w:t>ARGENTINA</w:t>
      </w:r>
      <w:r>
        <w:rPr>
          <w:rFonts w:ascii="Calibri" w:eastAsia="Times New Roman" w:hAnsi="Calibri" w:cs="Calibri Light"/>
          <w:b/>
          <w:szCs w:val="24"/>
          <w:lang w:val="es-ES" w:eastAsia="it-IT"/>
        </w:rPr>
        <w:t>, LATINOAMERICA</w:t>
      </w:r>
      <w:r w:rsidRPr="00B12EB2">
        <w:rPr>
          <w:rFonts w:ascii="Calibri" w:eastAsia="Times New Roman" w:hAnsi="Calibri" w:cs="Calibri Light"/>
          <w:b/>
          <w:szCs w:val="24"/>
          <w:lang w:val="es-ES" w:eastAsia="it-IT"/>
        </w:rPr>
        <w:t xml:space="preserve"> Y EL MUNDO</w:t>
      </w:r>
    </w:p>
    <w:p w14:paraId="0309A44C" w14:textId="77777777" w:rsidR="00E24343" w:rsidRDefault="00E24343" w:rsidP="003076E4">
      <w:pPr>
        <w:spacing w:after="0"/>
        <w:jc w:val="center"/>
        <w:rPr>
          <w:rFonts w:ascii="Calibri" w:eastAsia="Times New Roman" w:hAnsi="Calibri" w:cs="Calibri Light"/>
          <w:b/>
          <w:noProof/>
          <w:szCs w:val="24"/>
          <w:lang w:eastAsia="es-AR"/>
        </w:rPr>
      </w:pPr>
      <w:r>
        <w:rPr>
          <w:rFonts w:ascii="Calibri" w:eastAsia="Times New Roman" w:hAnsi="Calibri" w:cs="Calibri Light"/>
          <w:b/>
          <w:noProof/>
          <w:szCs w:val="24"/>
          <w:lang w:eastAsia="es-AR"/>
        </w:rPr>
        <w:drawing>
          <wp:inline distT="0" distB="0" distL="0" distR="0" wp14:anchorId="2C705DFB" wp14:editId="6DD22D10">
            <wp:extent cx="4475642" cy="2235835"/>
            <wp:effectExtent l="0" t="0" r="1270" b="1206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3F0AC70" w14:textId="77777777" w:rsidR="00104870" w:rsidRDefault="00104870" w:rsidP="003076E4">
      <w:pPr>
        <w:pStyle w:val="Body"/>
        <w:spacing w:line="276" w:lineRule="auto"/>
        <w:ind w:firstLine="708"/>
        <w:rPr>
          <w:rFonts w:ascii="Calibri" w:eastAsia="Calibri" w:hAnsi="Calibri" w:cs="Calibri"/>
          <w:sz w:val="16"/>
          <w:szCs w:val="16"/>
          <w:lang w:val="es-AR"/>
        </w:rPr>
      </w:pPr>
      <w:proofErr w:type="gramStart"/>
      <w:r>
        <w:rPr>
          <w:rFonts w:ascii="Calibri" w:eastAsia="Calibri" w:hAnsi="Calibri" w:cs="Calibri"/>
          <w:sz w:val="16"/>
          <w:szCs w:val="16"/>
          <w:lang w:val="es-AR"/>
        </w:rPr>
        <w:t xml:space="preserve">Encuesta Global, 64 países, </w:t>
      </w:r>
      <w:r w:rsidRPr="000F3CC5">
        <w:rPr>
          <w:rFonts w:ascii="Calibri" w:eastAsia="Calibri" w:hAnsi="Calibri" w:cs="Calibri"/>
          <w:sz w:val="16"/>
          <w:szCs w:val="16"/>
          <w:lang w:val="es-AR"/>
        </w:rPr>
        <w:t>VOICES!</w:t>
      </w:r>
      <w:proofErr w:type="gramEnd"/>
      <w:r w:rsidRPr="000F3CC5">
        <w:rPr>
          <w:rFonts w:ascii="Calibri" w:eastAsia="Calibri" w:hAnsi="Calibri" w:cs="Calibri"/>
          <w:sz w:val="16"/>
          <w:szCs w:val="16"/>
          <w:lang w:val="es-AR"/>
        </w:rPr>
        <w:t xml:space="preserve"> en Argentina</w:t>
      </w:r>
    </w:p>
    <w:p w14:paraId="6313FA56" w14:textId="77777777" w:rsidR="0037517C" w:rsidRDefault="0037517C" w:rsidP="003076E4">
      <w:pPr>
        <w:spacing w:after="0"/>
        <w:jc w:val="center"/>
        <w:rPr>
          <w:rFonts w:ascii="Calibri" w:eastAsia="Times New Roman" w:hAnsi="Calibri" w:cs="Calibri Light"/>
          <w:b/>
          <w:noProof/>
          <w:szCs w:val="24"/>
          <w:lang w:eastAsia="es-AR"/>
        </w:rPr>
      </w:pPr>
    </w:p>
    <w:p w14:paraId="1077A82F" w14:textId="5396EF78" w:rsidR="00E24343" w:rsidRDefault="00B208A1" w:rsidP="003076E4">
      <w:pPr>
        <w:spacing w:after="0"/>
        <w:jc w:val="both"/>
        <w:rPr>
          <w:rFonts w:ascii="Calibri" w:eastAsia="Times New Roman" w:hAnsi="Calibri" w:cs="Calibri Light"/>
          <w:szCs w:val="24"/>
          <w:lang w:val="es-ES" w:eastAsia="it-IT"/>
        </w:rPr>
      </w:pPr>
      <w:r w:rsidRPr="00B208A1">
        <w:rPr>
          <w:rFonts w:ascii="Calibri" w:eastAsia="Times New Roman" w:hAnsi="Calibri" w:cs="Calibri Light"/>
          <w:szCs w:val="24"/>
          <w:lang w:val="es-ES" w:eastAsia="it-IT"/>
        </w:rPr>
        <w:lastRenderedPageBreak/>
        <w:t xml:space="preserve">Al considerar </w:t>
      </w:r>
      <w:r w:rsidR="00E93EE7">
        <w:rPr>
          <w:rFonts w:ascii="Calibri" w:eastAsia="Times New Roman" w:hAnsi="Calibri" w:cs="Calibri Light"/>
          <w:szCs w:val="24"/>
          <w:lang w:val="es-ES" w:eastAsia="it-IT"/>
        </w:rPr>
        <w:t>l</w:t>
      </w:r>
      <w:r w:rsidRPr="00B208A1">
        <w:rPr>
          <w:rFonts w:ascii="Calibri" w:eastAsia="Times New Roman" w:hAnsi="Calibri" w:cs="Calibri Light"/>
          <w:szCs w:val="24"/>
          <w:lang w:val="es-ES" w:eastAsia="it-IT"/>
        </w:rPr>
        <w:t xml:space="preserve">a expectativa </w:t>
      </w:r>
      <w:r w:rsidR="00E93EE7">
        <w:rPr>
          <w:rFonts w:ascii="Calibri" w:eastAsia="Times New Roman" w:hAnsi="Calibri" w:cs="Calibri Light"/>
          <w:szCs w:val="24"/>
          <w:lang w:val="es-ES" w:eastAsia="it-IT"/>
        </w:rPr>
        <w:t xml:space="preserve">que tienen </w:t>
      </w:r>
      <w:r w:rsidRPr="00B208A1">
        <w:rPr>
          <w:rFonts w:ascii="Calibri" w:eastAsia="Times New Roman" w:hAnsi="Calibri" w:cs="Calibri Light"/>
          <w:szCs w:val="24"/>
          <w:lang w:val="es-ES" w:eastAsia="it-IT"/>
        </w:rPr>
        <w:t>de los hijos</w:t>
      </w:r>
      <w:r w:rsidR="00E93EE7">
        <w:rPr>
          <w:rFonts w:ascii="Calibri" w:eastAsia="Times New Roman" w:hAnsi="Calibri" w:cs="Calibri Light"/>
          <w:szCs w:val="24"/>
          <w:lang w:val="es-ES" w:eastAsia="it-IT"/>
        </w:rPr>
        <w:t xml:space="preserve"> para el </w:t>
      </w:r>
      <w:r w:rsidR="0027043F">
        <w:rPr>
          <w:rFonts w:ascii="Calibri" w:eastAsia="Times New Roman" w:hAnsi="Calibri" w:cs="Calibri Light"/>
          <w:szCs w:val="24"/>
          <w:lang w:val="es-ES" w:eastAsia="it-IT"/>
        </w:rPr>
        <w:t>futuro,</w:t>
      </w:r>
      <w:r w:rsidRPr="00B208A1">
        <w:rPr>
          <w:rFonts w:ascii="Calibri" w:eastAsia="Times New Roman" w:hAnsi="Calibri" w:cs="Calibri Light"/>
          <w:szCs w:val="24"/>
          <w:lang w:val="es-ES" w:eastAsia="it-IT"/>
        </w:rPr>
        <w:t xml:space="preserve"> en </w:t>
      </w:r>
      <w:r w:rsidR="00AA261F">
        <w:rPr>
          <w:rFonts w:ascii="Calibri" w:eastAsia="Times New Roman" w:hAnsi="Calibri" w:cs="Calibri Light"/>
          <w:szCs w:val="24"/>
          <w:lang w:val="es-ES" w:eastAsia="it-IT"/>
        </w:rPr>
        <w:t>A</w:t>
      </w:r>
      <w:r w:rsidRPr="00B208A1">
        <w:rPr>
          <w:rFonts w:ascii="Calibri" w:eastAsia="Times New Roman" w:hAnsi="Calibri" w:cs="Calibri Light"/>
          <w:szCs w:val="24"/>
          <w:lang w:val="es-ES" w:eastAsia="it-IT"/>
        </w:rPr>
        <w:t>rgentina se registran opiniones divididas</w:t>
      </w:r>
      <w:r w:rsidR="008C2E05">
        <w:rPr>
          <w:rFonts w:ascii="Calibri" w:eastAsia="Times New Roman" w:hAnsi="Calibri" w:cs="Calibri Light"/>
          <w:szCs w:val="24"/>
          <w:lang w:val="es-ES" w:eastAsia="it-IT"/>
        </w:rPr>
        <w:t>:</w:t>
      </w:r>
      <w:r>
        <w:rPr>
          <w:rFonts w:ascii="Calibri" w:eastAsia="Times New Roman" w:hAnsi="Calibri" w:cs="Calibri Light"/>
          <w:szCs w:val="24"/>
          <w:lang w:val="es-ES" w:eastAsia="it-IT"/>
        </w:rPr>
        <w:t xml:space="preserve"> un 32% dice que en el futuro estarán mejor que ellos, un 30% que estarán </w:t>
      </w:r>
      <w:r w:rsidR="0027043F">
        <w:rPr>
          <w:rFonts w:ascii="Calibri" w:eastAsia="Times New Roman" w:hAnsi="Calibri" w:cs="Calibri Light"/>
          <w:szCs w:val="24"/>
          <w:lang w:val="es-ES" w:eastAsia="it-IT"/>
        </w:rPr>
        <w:t>peor</w:t>
      </w:r>
      <w:r w:rsidR="00ED1865">
        <w:rPr>
          <w:rFonts w:ascii="Calibri" w:eastAsia="Times New Roman" w:hAnsi="Calibri" w:cs="Calibri Light"/>
          <w:szCs w:val="24"/>
          <w:lang w:val="es-ES" w:eastAsia="it-IT"/>
        </w:rPr>
        <w:t>,</w:t>
      </w:r>
      <w:r w:rsidR="0027043F">
        <w:rPr>
          <w:rFonts w:ascii="Calibri" w:eastAsia="Times New Roman" w:hAnsi="Calibri" w:cs="Calibri Light"/>
          <w:szCs w:val="24"/>
          <w:lang w:val="es-ES" w:eastAsia="it-IT"/>
        </w:rPr>
        <w:t xml:space="preserve"> un</w:t>
      </w:r>
      <w:r w:rsidR="00E53661">
        <w:rPr>
          <w:rFonts w:ascii="Calibri" w:eastAsia="Times New Roman" w:hAnsi="Calibri" w:cs="Calibri Light"/>
          <w:szCs w:val="24"/>
          <w:lang w:val="es-ES" w:eastAsia="it-IT"/>
        </w:rPr>
        <w:t xml:space="preserve"> </w:t>
      </w:r>
      <w:r>
        <w:rPr>
          <w:rFonts w:ascii="Calibri" w:eastAsia="Times New Roman" w:hAnsi="Calibri" w:cs="Calibri Light"/>
          <w:szCs w:val="24"/>
          <w:lang w:val="es-ES" w:eastAsia="it-IT"/>
        </w:rPr>
        <w:t xml:space="preserve">21% igual y un 17% no sabe lo que ocurrirá. En la comparación internacional nuestro país está por debajo del total mundial (44% dice a nivel global que sus hijos estarán mejor) y que </w:t>
      </w:r>
      <w:r w:rsidR="00E93EE7">
        <w:rPr>
          <w:rFonts w:ascii="Calibri" w:eastAsia="Times New Roman" w:hAnsi="Calibri" w:cs="Calibri Light"/>
          <w:szCs w:val="24"/>
          <w:lang w:val="es-ES" w:eastAsia="it-IT"/>
        </w:rPr>
        <w:t>Latinoamérica</w:t>
      </w:r>
      <w:r w:rsidR="008C2E05">
        <w:rPr>
          <w:rFonts w:ascii="Calibri" w:eastAsia="Times New Roman" w:hAnsi="Calibri" w:cs="Calibri Light"/>
          <w:szCs w:val="24"/>
          <w:lang w:val="es-ES" w:eastAsia="it-IT"/>
        </w:rPr>
        <w:t xml:space="preserve"> (40%) m</w:t>
      </w:r>
      <w:r w:rsidR="00E93EE7">
        <w:rPr>
          <w:rFonts w:ascii="Calibri" w:eastAsia="Times New Roman" w:hAnsi="Calibri" w:cs="Calibri Light"/>
          <w:szCs w:val="24"/>
          <w:lang w:val="es-ES" w:eastAsia="it-IT"/>
        </w:rPr>
        <w:t>ientras que en A</w:t>
      </w:r>
      <w:r>
        <w:rPr>
          <w:rFonts w:ascii="Calibri" w:eastAsia="Times New Roman" w:hAnsi="Calibri" w:cs="Calibri Light"/>
          <w:szCs w:val="24"/>
          <w:lang w:val="es-ES" w:eastAsia="it-IT"/>
        </w:rPr>
        <w:t>rgentina los optimistas son el 32</w:t>
      </w:r>
      <w:r w:rsidR="00E93EE7">
        <w:rPr>
          <w:rFonts w:ascii="Calibri" w:eastAsia="Times New Roman" w:hAnsi="Calibri" w:cs="Calibri Light"/>
          <w:szCs w:val="24"/>
          <w:lang w:val="es-ES" w:eastAsia="it-IT"/>
        </w:rPr>
        <w:t>%</w:t>
      </w:r>
      <w:r>
        <w:rPr>
          <w:rFonts w:ascii="Calibri" w:eastAsia="Times New Roman" w:hAnsi="Calibri" w:cs="Calibri Light"/>
          <w:szCs w:val="24"/>
          <w:lang w:val="es-ES" w:eastAsia="it-IT"/>
        </w:rPr>
        <w:t xml:space="preserve">. Si comparamos el total de </w:t>
      </w:r>
      <w:r w:rsidR="00E93EE7">
        <w:rPr>
          <w:rFonts w:ascii="Calibri" w:eastAsia="Times New Roman" w:hAnsi="Calibri" w:cs="Calibri Light"/>
          <w:szCs w:val="24"/>
          <w:lang w:val="es-ES" w:eastAsia="it-IT"/>
        </w:rPr>
        <w:t xml:space="preserve">países y consideramos </w:t>
      </w:r>
      <w:r w:rsidR="004A7A2D">
        <w:rPr>
          <w:rFonts w:ascii="Calibri" w:eastAsia="Times New Roman" w:hAnsi="Calibri" w:cs="Calibri Light"/>
          <w:szCs w:val="24"/>
          <w:lang w:val="es-ES" w:eastAsia="it-IT"/>
        </w:rPr>
        <w:t xml:space="preserve">las diferencias entre </w:t>
      </w:r>
      <w:r w:rsidR="00E93EE7">
        <w:rPr>
          <w:rFonts w:ascii="Calibri" w:eastAsia="Times New Roman" w:hAnsi="Calibri" w:cs="Calibri Light"/>
          <w:szCs w:val="24"/>
          <w:lang w:val="es-ES" w:eastAsia="it-IT"/>
        </w:rPr>
        <w:t>m</w:t>
      </w:r>
      <w:r w:rsidR="004A7A2D">
        <w:rPr>
          <w:rFonts w:ascii="Calibri" w:eastAsia="Times New Roman" w:hAnsi="Calibri" w:cs="Calibri Light"/>
          <w:szCs w:val="24"/>
          <w:lang w:val="es-ES" w:eastAsia="it-IT"/>
        </w:rPr>
        <w:t>e</w:t>
      </w:r>
      <w:r w:rsidR="00E93EE7">
        <w:rPr>
          <w:rFonts w:ascii="Calibri" w:eastAsia="Times New Roman" w:hAnsi="Calibri" w:cs="Calibri Light"/>
          <w:szCs w:val="24"/>
          <w:lang w:val="es-ES" w:eastAsia="it-IT"/>
        </w:rPr>
        <w:t xml:space="preserve">jor-peor, nuestro país </w:t>
      </w:r>
      <w:r w:rsidR="004A7A2D">
        <w:rPr>
          <w:rFonts w:ascii="Calibri" w:eastAsia="Times New Roman" w:hAnsi="Calibri" w:cs="Calibri Light"/>
          <w:szCs w:val="24"/>
          <w:lang w:val="es-ES" w:eastAsia="it-IT"/>
        </w:rPr>
        <w:t>está</w:t>
      </w:r>
      <w:r w:rsidR="00E93EE7">
        <w:rPr>
          <w:rFonts w:ascii="Calibri" w:eastAsia="Times New Roman" w:hAnsi="Calibri" w:cs="Calibri Light"/>
          <w:szCs w:val="24"/>
          <w:lang w:val="es-ES" w:eastAsia="it-IT"/>
        </w:rPr>
        <w:t xml:space="preserve"> en la posición 44 de 64. De nuestra </w:t>
      </w:r>
      <w:r w:rsidR="004A7A2D">
        <w:rPr>
          <w:rFonts w:ascii="Calibri" w:eastAsia="Times New Roman" w:hAnsi="Calibri" w:cs="Calibri Light"/>
          <w:szCs w:val="24"/>
          <w:lang w:val="es-ES" w:eastAsia="it-IT"/>
        </w:rPr>
        <w:t>región</w:t>
      </w:r>
      <w:r w:rsidR="00E93EE7">
        <w:rPr>
          <w:rFonts w:ascii="Calibri" w:eastAsia="Times New Roman" w:hAnsi="Calibri" w:cs="Calibri Light"/>
          <w:szCs w:val="24"/>
          <w:lang w:val="es-ES" w:eastAsia="it-IT"/>
        </w:rPr>
        <w:t xml:space="preserve"> Perú</w:t>
      </w:r>
      <w:r w:rsidR="004A7A2D">
        <w:rPr>
          <w:rFonts w:ascii="Calibri" w:eastAsia="Times New Roman" w:hAnsi="Calibri" w:cs="Calibri Light"/>
          <w:szCs w:val="24"/>
          <w:lang w:val="es-ES" w:eastAsia="it-IT"/>
        </w:rPr>
        <w:t>,</w:t>
      </w:r>
      <w:r w:rsidR="00E93EE7">
        <w:rPr>
          <w:rFonts w:ascii="Calibri" w:eastAsia="Times New Roman" w:hAnsi="Calibri" w:cs="Calibri Light"/>
          <w:szCs w:val="24"/>
          <w:lang w:val="es-ES" w:eastAsia="it-IT"/>
        </w:rPr>
        <w:t xml:space="preserve"> </w:t>
      </w:r>
      <w:r w:rsidR="004A7A2D">
        <w:rPr>
          <w:rFonts w:ascii="Calibri" w:eastAsia="Times New Roman" w:hAnsi="Calibri" w:cs="Calibri Light"/>
          <w:szCs w:val="24"/>
          <w:lang w:val="es-ES" w:eastAsia="it-IT"/>
        </w:rPr>
        <w:t>está por</w:t>
      </w:r>
      <w:r w:rsidR="00E93EE7">
        <w:rPr>
          <w:rFonts w:ascii="Calibri" w:eastAsia="Times New Roman" w:hAnsi="Calibri" w:cs="Calibri Light"/>
          <w:szCs w:val="24"/>
          <w:lang w:val="es-ES" w:eastAsia="it-IT"/>
        </w:rPr>
        <w:t xml:space="preserve"> debajo de Argentin</w:t>
      </w:r>
      <w:r w:rsidR="004A7A2D">
        <w:rPr>
          <w:rFonts w:ascii="Calibri" w:eastAsia="Times New Roman" w:hAnsi="Calibri" w:cs="Calibri Light"/>
          <w:szCs w:val="24"/>
          <w:lang w:val="es-ES" w:eastAsia="it-IT"/>
        </w:rPr>
        <w:t>a</w:t>
      </w:r>
      <w:r w:rsidR="00E93EE7">
        <w:rPr>
          <w:rFonts w:ascii="Calibri" w:eastAsia="Times New Roman" w:hAnsi="Calibri" w:cs="Calibri Light"/>
          <w:szCs w:val="24"/>
          <w:lang w:val="es-ES" w:eastAsia="it-IT"/>
        </w:rPr>
        <w:t xml:space="preserve"> mientras </w:t>
      </w:r>
      <w:r w:rsidR="004A7A2D">
        <w:rPr>
          <w:rFonts w:ascii="Calibri" w:eastAsia="Times New Roman" w:hAnsi="Calibri" w:cs="Calibri Light"/>
          <w:szCs w:val="24"/>
          <w:lang w:val="es-ES" w:eastAsia="it-IT"/>
        </w:rPr>
        <w:t>que</w:t>
      </w:r>
      <w:r w:rsidR="00E93EE7">
        <w:rPr>
          <w:rFonts w:ascii="Calibri" w:eastAsia="Times New Roman" w:hAnsi="Calibri" w:cs="Calibri Light"/>
          <w:szCs w:val="24"/>
          <w:lang w:val="es-ES" w:eastAsia="it-IT"/>
        </w:rPr>
        <w:t xml:space="preserve"> </w:t>
      </w:r>
      <w:r w:rsidR="004A7A2D">
        <w:rPr>
          <w:rFonts w:ascii="Calibri" w:eastAsia="Times New Roman" w:hAnsi="Calibri" w:cs="Calibri Light"/>
          <w:szCs w:val="24"/>
          <w:lang w:val="es-ES" w:eastAsia="it-IT"/>
        </w:rPr>
        <w:t>México</w:t>
      </w:r>
      <w:r w:rsidR="00E93EE7">
        <w:rPr>
          <w:rFonts w:ascii="Calibri" w:eastAsia="Times New Roman" w:hAnsi="Calibri" w:cs="Calibri Light"/>
          <w:szCs w:val="24"/>
          <w:lang w:val="es-ES" w:eastAsia="it-IT"/>
        </w:rPr>
        <w:t xml:space="preserve"> es el </w:t>
      </w:r>
      <w:r w:rsidR="004A7A2D">
        <w:rPr>
          <w:rFonts w:ascii="Calibri" w:eastAsia="Times New Roman" w:hAnsi="Calibri" w:cs="Calibri Light"/>
          <w:szCs w:val="24"/>
          <w:lang w:val="es-ES" w:eastAsia="it-IT"/>
        </w:rPr>
        <w:t>más</w:t>
      </w:r>
      <w:r w:rsidR="00E93EE7">
        <w:rPr>
          <w:rFonts w:ascii="Calibri" w:eastAsia="Times New Roman" w:hAnsi="Calibri" w:cs="Calibri Light"/>
          <w:szCs w:val="24"/>
          <w:lang w:val="es-ES" w:eastAsia="it-IT"/>
        </w:rPr>
        <w:t xml:space="preserve"> optimista de la región</w:t>
      </w:r>
      <w:r w:rsidR="004A7A2D">
        <w:rPr>
          <w:rFonts w:ascii="Calibri" w:eastAsia="Times New Roman" w:hAnsi="Calibri" w:cs="Calibri Light"/>
          <w:szCs w:val="24"/>
          <w:lang w:val="es-ES" w:eastAsia="it-IT"/>
        </w:rPr>
        <w:t xml:space="preserve"> sobre el futuro.</w:t>
      </w:r>
    </w:p>
    <w:p w14:paraId="606DAD27" w14:textId="77777777" w:rsidR="003076E4" w:rsidRDefault="003076E4" w:rsidP="003076E4">
      <w:pPr>
        <w:spacing w:after="0"/>
        <w:jc w:val="both"/>
        <w:rPr>
          <w:rFonts w:ascii="Calibri" w:eastAsia="Times New Roman" w:hAnsi="Calibri" w:cs="Calibri Light"/>
          <w:szCs w:val="24"/>
          <w:lang w:val="es-ES" w:eastAsia="it-IT"/>
        </w:rPr>
      </w:pPr>
    </w:p>
    <w:p w14:paraId="597BDEFA" w14:textId="6114647B" w:rsidR="004A7A2D" w:rsidRPr="00B208A1" w:rsidRDefault="004A7A2D" w:rsidP="003076E4">
      <w:pPr>
        <w:spacing w:after="0"/>
        <w:jc w:val="both"/>
        <w:rPr>
          <w:rFonts w:ascii="Calibri" w:eastAsia="Times New Roman" w:hAnsi="Calibri" w:cs="Calibri Light"/>
          <w:szCs w:val="24"/>
          <w:lang w:val="es-ES" w:eastAsia="it-IT"/>
        </w:rPr>
      </w:pPr>
      <w:r>
        <w:rPr>
          <w:rFonts w:ascii="Calibri" w:eastAsia="Times New Roman" w:hAnsi="Calibri" w:cs="Calibri Light"/>
          <w:szCs w:val="24"/>
          <w:lang w:val="es-ES" w:eastAsia="it-IT"/>
        </w:rPr>
        <w:t>En Argentina</w:t>
      </w:r>
      <w:r w:rsidR="0027043F">
        <w:rPr>
          <w:rFonts w:ascii="Calibri" w:eastAsia="Times New Roman" w:hAnsi="Calibri" w:cs="Calibri Light"/>
          <w:szCs w:val="24"/>
          <w:lang w:val="es-ES" w:eastAsia="it-IT"/>
        </w:rPr>
        <w:t xml:space="preserve"> hay má</w:t>
      </w:r>
      <w:r>
        <w:rPr>
          <w:rFonts w:ascii="Calibri" w:eastAsia="Times New Roman" w:hAnsi="Calibri" w:cs="Calibri Light"/>
          <w:szCs w:val="24"/>
          <w:lang w:val="es-ES" w:eastAsia="it-IT"/>
        </w:rPr>
        <w:t xml:space="preserve">s </w:t>
      </w:r>
      <w:r w:rsidR="0027043F">
        <w:rPr>
          <w:rFonts w:ascii="Calibri" w:eastAsia="Times New Roman" w:hAnsi="Calibri" w:cs="Calibri Light"/>
          <w:szCs w:val="24"/>
          <w:lang w:val="es-ES" w:eastAsia="it-IT"/>
        </w:rPr>
        <w:t>optimismo</w:t>
      </w:r>
      <w:r>
        <w:rPr>
          <w:rFonts w:ascii="Calibri" w:eastAsia="Times New Roman" w:hAnsi="Calibri" w:cs="Calibri Light"/>
          <w:szCs w:val="24"/>
          <w:lang w:val="es-ES" w:eastAsia="it-IT"/>
        </w:rPr>
        <w:t xml:space="preserve"> sobre el futuro de los hijos ent</w:t>
      </w:r>
      <w:r w:rsidR="0027043F">
        <w:rPr>
          <w:rFonts w:ascii="Calibri" w:eastAsia="Times New Roman" w:hAnsi="Calibri" w:cs="Calibri Light"/>
          <w:szCs w:val="24"/>
          <w:lang w:val="es-ES" w:eastAsia="it-IT"/>
        </w:rPr>
        <w:t xml:space="preserve">re los mayores, los residentes de </w:t>
      </w:r>
      <w:r>
        <w:rPr>
          <w:rFonts w:ascii="Calibri" w:eastAsia="Times New Roman" w:hAnsi="Calibri" w:cs="Calibri Light"/>
          <w:szCs w:val="24"/>
          <w:lang w:val="es-ES" w:eastAsia="it-IT"/>
        </w:rPr>
        <w:t>Capital Federal</w:t>
      </w:r>
      <w:r w:rsidR="0027043F">
        <w:rPr>
          <w:rFonts w:ascii="Calibri" w:eastAsia="Times New Roman" w:hAnsi="Calibri" w:cs="Calibri Light"/>
          <w:szCs w:val="24"/>
          <w:lang w:val="es-ES" w:eastAsia="it-IT"/>
        </w:rPr>
        <w:t xml:space="preserve"> y los de mayor poder adquisitivo y educativo</w:t>
      </w:r>
    </w:p>
    <w:p w14:paraId="0025F6BD" w14:textId="77777777" w:rsidR="00E24343" w:rsidRDefault="00E24343" w:rsidP="003076E4">
      <w:pPr>
        <w:spacing w:after="0"/>
        <w:jc w:val="center"/>
        <w:rPr>
          <w:rFonts w:ascii="Calibri" w:eastAsia="Times New Roman" w:hAnsi="Calibri" w:cs="Calibri Light"/>
          <w:b/>
          <w:szCs w:val="24"/>
          <w:lang w:val="es-ES" w:eastAsia="it-IT"/>
        </w:rPr>
      </w:pPr>
    </w:p>
    <w:p w14:paraId="3C36737E" w14:textId="6A9893D9" w:rsidR="0027043F" w:rsidRDefault="0027043F" w:rsidP="003076E4">
      <w:pPr>
        <w:spacing w:after="0"/>
        <w:rPr>
          <w:rFonts w:ascii="Calibri" w:eastAsia="Times New Roman" w:hAnsi="Calibri" w:cs="Calibri Light"/>
          <w:b/>
          <w:szCs w:val="24"/>
          <w:lang w:val="es-ES" w:eastAsia="it-IT"/>
        </w:rPr>
      </w:pPr>
    </w:p>
    <w:p w14:paraId="0FF96C36" w14:textId="77777777" w:rsidR="00E24343" w:rsidRPr="00B12EB2" w:rsidRDefault="00E24343" w:rsidP="003076E4">
      <w:pPr>
        <w:spacing w:after="0"/>
        <w:jc w:val="center"/>
        <w:rPr>
          <w:rFonts w:ascii="Calibri" w:eastAsia="Times New Roman" w:hAnsi="Calibri" w:cs="Calibri Light"/>
          <w:b/>
          <w:szCs w:val="24"/>
          <w:lang w:val="es-ES" w:eastAsia="it-IT"/>
        </w:rPr>
      </w:pPr>
      <w:r w:rsidRPr="00B12EB2">
        <w:rPr>
          <w:rFonts w:ascii="Calibri" w:eastAsia="Times New Roman" w:hAnsi="Calibri" w:cs="Calibri Light"/>
          <w:b/>
          <w:szCs w:val="24"/>
          <w:lang w:val="es-ES" w:eastAsia="it-IT"/>
        </w:rPr>
        <w:t>“</w:t>
      </w:r>
      <w:r w:rsidR="004B5475">
        <w:rPr>
          <w:rFonts w:ascii="Calibri" w:eastAsia="Times New Roman" w:hAnsi="Calibri" w:cs="Calibri Light"/>
          <w:b/>
          <w:szCs w:val="24"/>
          <w:lang w:val="es-ES" w:eastAsia="it-IT"/>
        </w:rPr>
        <w:t>¿C</w:t>
      </w:r>
      <w:r w:rsidRPr="00E24343">
        <w:rPr>
          <w:rFonts w:ascii="Calibri" w:eastAsia="Times New Roman" w:hAnsi="Calibri" w:cs="Calibri Light"/>
          <w:b/>
          <w:szCs w:val="24"/>
          <w:lang w:val="es-ES" w:eastAsia="it-IT"/>
        </w:rPr>
        <w:t>ree que los niños de hoy tendrán una vida mejor</w:t>
      </w:r>
      <w:r>
        <w:rPr>
          <w:rFonts w:ascii="Calibri" w:eastAsia="Times New Roman" w:hAnsi="Calibri" w:cs="Calibri Light"/>
          <w:b/>
          <w:szCs w:val="24"/>
          <w:lang w:val="es-ES" w:eastAsia="it-IT"/>
        </w:rPr>
        <w:t>, peor o casi igual que la suya</w:t>
      </w:r>
      <w:r w:rsidRPr="00E24343">
        <w:rPr>
          <w:rFonts w:ascii="Calibri" w:eastAsia="Times New Roman" w:hAnsi="Calibri" w:cs="Calibri Light"/>
          <w:b/>
          <w:szCs w:val="24"/>
          <w:lang w:val="es-ES" w:eastAsia="it-IT"/>
        </w:rPr>
        <w:t>?</w:t>
      </w:r>
      <w:r w:rsidRPr="00B12EB2">
        <w:rPr>
          <w:rFonts w:ascii="Calibri" w:eastAsia="Times New Roman" w:hAnsi="Calibri" w:cs="Calibri Light"/>
          <w:b/>
          <w:szCs w:val="24"/>
          <w:lang w:val="es-ES" w:eastAsia="it-IT"/>
        </w:rPr>
        <w:t>”</w:t>
      </w:r>
    </w:p>
    <w:p w14:paraId="6EB9195F" w14:textId="77777777" w:rsidR="00E24343" w:rsidRDefault="00E24343" w:rsidP="003076E4">
      <w:pPr>
        <w:spacing w:after="0"/>
        <w:jc w:val="center"/>
        <w:rPr>
          <w:rFonts w:ascii="Calibri" w:eastAsia="Times New Roman" w:hAnsi="Calibri" w:cs="Calibri Light"/>
          <w:b/>
          <w:szCs w:val="24"/>
          <w:lang w:val="es-ES" w:eastAsia="it-IT"/>
        </w:rPr>
      </w:pPr>
      <w:r w:rsidRPr="00B12EB2">
        <w:rPr>
          <w:rFonts w:ascii="Calibri" w:eastAsia="Times New Roman" w:hAnsi="Calibri" w:cs="Calibri Light"/>
          <w:b/>
          <w:szCs w:val="24"/>
          <w:lang w:val="es-ES" w:eastAsia="it-IT"/>
        </w:rPr>
        <w:t>ARGENTINA</w:t>
      </w:r>
      <w:r>
        <w:rPr>
          <w:rFonts w:ascii="Calibri" w:eastAsia="Times New Roman" w:hAnsi="Calibri" w:cs="Calibri Light"/>
          <w:b/>
          <w:szCs w:val="24"/>
          <w:lang w:val="es-ES" w:eastAsia="it-IT"/>
        </w:rPr>
        <w:t>, LATINOAMERICA</w:t>
      </w:r>
      <w:r w:rsidRPr="00B12EB2">
        <w:rPr>
          <w:rFonts w:ascii="Calibri" w:eastAsia="Times New Roman" w:hAnsi="Calibri" w:cs="Calibri Light"/>
          <w:b/>
          <w:szCs w:val="24"/>
          <w:lang w:val="es-ES" w:eastAsia="it-IT"/>
        </w:rPr>
        <w:t xml:space="preserve"> Y EL MUNDO</w:t>
      </w:r>
    </w:p>
    <w:p w14:paraId="4E0F55D6" w14:textId="77777777" w:rsidR="00E24343" w:rsidRPr="00B12EB2" w:rsidRDefault="00E24343" w:rsidP="003076E4">
      <w:pPr>
        <w:spacing w:after="0"/>
        <w:jc w:val="center"/>
        <w:rPr>
          <w:rFonts w:ascii="Calibri" w:hAnsi="Calibri"/>
          <w:sz w:val="20"/>
        </w:rPr>
      </w:pPr>
    </w:p>
    <w:p w14:paraId="3D5CC431" w14:textId="77777777" w:rsidR="007A1A2C" w:rsidRDefault="00510554" w:rsidP="003076E4">
      <w:pPr>
        <w:spacing w:after="0"/>
        <w:jc w:val="center"/>
      </w:pPr>
      <w:r>
        <w:rPr>
          <w:rFonts w:ascii="Calibri" w:eastAsia="Times New Roman" w:hAnsi="Calibri" w:cs="Calibri Light"/>
          <w:b/>
          <w:noProof/>
          <w:szCs w:val="24"/>
          <w:lang w:eastAsia="es-AR"/>
        </w:rPr>
        <w:drawing>
          <wp:inline distT="0" distB="0" distL="0" distR="0" wp14:anchorId="3317B892" wp14:editId="30109953">
            <wp:extent cx="4475642" cy="2235835"/>
            <wp:effectExtent l="0" t="0" r="1270" b="1206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ADF5049" w14:textId="77777777" w:rsidR="00104870" w:rsidRDefault="00104870" w:rsidP="003076E4">
      <w:pPr>
        <w:pStyle w:val="Body"/>
        <w:spacing w:line="276" w:lineRule="auto"/>
        <w:ind w:firstLine="708"/>
        <w:rPr>
          <w:rFonts w:ascii="Calibri" w:eastAsia="Calibri" w:hAnsi="Calibri" w:cs="Calibri"/>
          <w:sz w:val="16"/>
          <w:szCs w:val="16"/>
          <w:lang w:val="es-AR"/>
        </w:rPr>
      </w:pPr>
      <w:proofErr w:type="gramStart"/>
      <w:r>
        <w:rPr>
          <w:rFonts w:ascii="Calibri" w:eastAsia="Calibri" w:hAnsi="Calibri" w:cs="Calibri"/>
          <w:sz w:val="16"/>
          <w:szCs w:val="16"/>
          <w:lang w:val="es-AR"/>
        </w:rPr>
        <w:t xml:space="preserve">Encuesta Global, 64 países, </w:t>
      </w:r>
      <w:r w:rsidRPr="000F3CC5">
        <w:rPr>
          <w:rFonts w:ascii="Calibri" w:eastAsia="Calibri" w:hAnsi="Calibri" w:cs="Calibri"/>
          <w:sz w:val="16"/>
          <w:szCs w:val="16"/>
          <w:lang w:val="es-AR"/>
        </w:rPr>
        <w:t>VOICES!</w:t>
      </w:r>
      <w:proofErr w:type="gramEnd"/>
      <w:r w:rsidRPr="000F3CC5">
        <w:rPr>
          <w:rFonts w:ascii="Calibri" w:eastAsia="Calibri" w:hAnsi="Calibri" w:cs="Calibri"/>
          <w:sz w:val="16"/>
          <w:szCs w:val="16"/>
          <w:lang w:val="es-AR"/>
        </w:rPr>
        <w:t xml:space="preserve"> en Argentina</w:t>
      </w:r>
    </w:p>
    <w:p w14:paraId="0AC8B139" w14:textId="247CF412" w:rsidR="001C13CF" w:rsidRDefault="001C13CF" w:rsidP="003076E4">
      <w:pPr>
        <w:spacing w:after="0"/>
        <w:jc w:val="center"/>
        <w:rPr>
          <w:rFonts w:ascii="Calibri" w:eastAsia="Times New Roman" w:hAnsi="Calibri" w:cs="Calibri Light"/>
          <w:b/>
          <w:szCs w:val="24"/>
          <w:lang w:val="es-ES" w:eastAsia="it-IT"/>
        </w:rPr>
      </w:pPr>
      <w:r>
        <w:rPr>
          <w:rFonts w:cstheme="minorHAnsi"/>
          <w:b/>
          <w:spacing w:val="-2"/>
          <w:szCs w:val="24"/>
        </w:rPr>
        <w:br w:type="page"/>
      </w:r>
      <w:r w:rsidRPr="00B12EB2">
        <w:rPr>
          <w:rFonts w:ascii="Calibri" w:eastAsia="Times New Roman" w:hAnsi="Calibri" w:cs="Calibri Light"/>
          <w:b/>
          <w:szCs w:val="24"/>
          <w:lang w:val="es-ES" w:eastAsia="it-IT"/>
        </w:rPr>
        <w:lastRenderedPageBreak/>
        <w:t>“</w:t>
      </w:r>
      <w:r>
        <w:rPr>
          <w:rFonts w:ascii="Calibri" w:eastAsia="Times New Roman" w:hAnsi="Calibri" w:cs="Calibri Light"/>
          <w:b/>
          <w:szCs w:val="24"/>
          <w:lang w:val="es-ES" w:eastAsia="it-IT"/>
        </w:rPr>
        <w:t>¿C</w:t>
      </w:r>
      <w:r w:rsidRPr="00E24343">
        <w:rPr>
          <w:rFonts w:ascii="Calibri" w:eastAsia="Times New Roman" w:hAnsi="Calibri" w:cs="Calibri Light"/>
          <w:b/>
          <w:szCs w:val="24"/>
          <w:lang w:val="es-ES" w:eastAsia="it-IT"/>
        </w:rPr>
        <w:t>ree que los niños de hoy tendrán una vida mejor</w:t>
      </w:r>
      <w:r>
        <w:rPr>
          <w:rFonts w:ascii="Calibri" w:eastAsia="Times New Roman" w:hAnsi="Calibri" w:cs="Calibri Light"/>
          <w:b/>
          <w:szCs w:val="24"/>
          <w:lang w:val="es-ES" w:eastAsia="it-IT"/>
        </w:rPr>
        <w:t>, peor o casi igual que la suya</w:t>
      </w:r>
      <w:r w:rsidRPr="00E24343">
        <w:rPr>
          <w:rFonts w:ascii="Calibri" w:eastAsia="Times New Roman" w:hAnsi="Calibri" w:cs="Calibri Light"/>
          <w:b/>
          <w:szCs w:val="24"/>
          <w:lang w:val="es-ES" w:eastAsia="it-IT"/>
        </w:rPr>
        <w:t>?</w:t>
      </w:r>
      <w:r w:rsidRPr="00B12EB2">
        <w:rPr>
          <w:rFonts w:ascii="Calibri" w:eastAsia="Times New Roman" w:hAnsi="Calibri" w:cs="Calibri Light"/>
          <w:b/>
          <w:szCs w:val="24"/>
          <w:lang w:val="es-ES" w:eastAsia="it-IT"/>
        </w:rPr>
        <w:t>”</w:t>
      </w:r>
      <w:r>
        <w:rPr>
          <w:rFonts w:ascii="Calibri" w:eastAsia="Times New Roman" w:hAnsi="Calibri" w:cs="Calibri Light"/>
          <w:b/>
          <w:szCs w:val="24"/>
          <w:lang w:val="es-ES" w:eastAsia="it-IT"/>
        </w:rPr>
        <w:t xml:space="preserve"> Por país</w:t>
      </w:r>
    </w:p>
    <w:p w14:paraId="68AC0A63" w14:textId="18B40629" w:rsidR="001C13CF" w:rsidRPr="00B12EB2" w:rsidRDefault="001C13CF" w:rsidP="001C13CF">
      <w:pPr>
        <w:spacing w:after="0"/>
        <w:jc w:val="center"/>
        <w:rPr>
          <w:rFonts w:ascii="Calibri" w:eastAsia="Times New Roman" w:hAnsi="Calibri" w:cs="Calibri Light"/>
          <w:b/>
          <w:szCs w:val="24"/>
          <w:lang w:val="es-ES" w:eastAsia="it-IT"/>
        </w:rPr>
      </w:pPr>
      <w:r>
        <w:rPr>
          <w:rFonts w:ascii="Calibri" w:eastAsia="Times New Roman" w:hAnsi="Calibri" w:cs="Calibri Light"/>
          <w:b/>
          <w:szCs w:val="24"/>
          <w:lang w:val="es-ES" w:eastAsia="it-IT"/>
        </w:rPr>
        <w:t>(Ordenados por el score mejor –peor)</w:t>
      </w:r>
    </w:p>
    <w:p w14:paraId="5417DB1B" w14:textId="7D3A2706" w:rsidR="001C13CF" w:rsidRPr="001C13CF" w:rsidRDefault="001C13CF">
      <w:pPr>
        <w:rPr>
          <w:rFonts w:cstheme="minorHAnsi"/>
          <w:b/>
          <w:spacing w:val="-2"/>
          <w:szCs w:val="24"/>
          <w:lang w:val="es-ES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420"/>
        <w:gridCol w:w="1420"/>
        <w:gridCol w:w="1420"/>
        <w:gridCol w:w="1420"/>
        <w:gridCol w:w="1000"/>
      </w:tblGrid>
      <w:tr w:rsidR="001C13CF" w:rsidRPr="001C13CF" w14:paraId="433B3972" w14:textId="77777777" w:rsidTr="001C13CF">
        <w:trPr>
          <w:trHeight w:val="31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A606CBE" w14:textId="77777777" w:rsidR="001C13CF" w:rsidRPr="001C13CF" w:rsidRDefault="001C13CF" w:rsidP="001C13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038A989" w14:textId="77A00DB8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Mejor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78CCD7FD" w14:textId="45734C1F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Pero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65870257" w14:textId="659C3720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Igual</w:t>
            </w:r>
          </w:p>
        </w:tc>
        <w:tc>
          <w:tcPr>
            <w:tcW w:w="1420" w:type="dxa"/>
            <w:shd w:val="clear" w:color="auto" w:fill="auto"/>
            <w:noWrap/>
            <w:vAlign w:val="bottom"/>
            <w:hideMark/>
          </w:tcPr>
          <w:p w14:paraId="0771A025" w14:textId="49CF9DFA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No sabe/ No contesta</w:t>
            </w:r>
          </w:p>
        </w:tc>
        <w:tc>
          <w:tcPr>
            <w:tcW w:w="1000" w:type="dxa"/>
            <w:shd w:val="clear" w:color="auto" w:fill="auto"/>
            <w:noWrap/>
            <w:vAlign w:val="bottom"/>
            <w:hideMark/>
          </w:tcPr>
          <w:p w14:paraId="7559E469" w14:textId="77777777" w:rsid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Score</w:t>
            </w:r>
          </w:p>
          <w:p w14:paraId="2D196B6F" w14:textId="70EF9AED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(mejor-peor)</w:t>
            </w:r>
          </w:p>
        </w:tc>
      </w:tr>
      <w:tr w:rsidR="001C13CF" w:rsidRPr="001C13CF" w14:paraId="5A9BEB95" w14:textId="77777777" w:rsidTr="001C13CF">
        <w:trPr>
          <w:trHeight w:val="315"/>
        </w:trPr>
        <w:tc>
          <w:tcPr>
            <w:tcW w:w="2380" w:type="dxa"/>
            <w:shd w:val="clear" w:color="auto" w:fill="auto"/>
            <w:noWrap/>
            <w:vAlign w:val="bottom"/>
          </w:tcPr>
          <w:p w14:paraId="1E408EDD" w14:textId="04764506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Global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2DB58941" w14:textId="26F2793E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44%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285F5BB4" w14:textId="448F7CE0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28%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14:paraId="6D4DE11A" w14:textId="0F1AEE3A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20%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FC1A50B" w14:textId="6D9A2A0A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8%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14:paraId="22E587EA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1C13CF" w:rsidRPr="001C13CF" w14:paraId="12FB46DD" w14:textId="77777777" w:rsidTr="001C13CF">
        <w:trPr>
          <w:trHeight w:val="31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5217A620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Nigeria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04D000D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507D82D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8FD0E17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4%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14:paraId="0F1256BC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4D961D9F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83%</w:t>
            </w:r>
          </w:p>
        </w:tc>
      </w:tr>
      <w:tr w:rsidR="001C13CF" w:rsidRPr="001C13CF" w14:paraId="77417C72" w14:textId="77777777" w:rsidTr="001C13CF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CDA478E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Emiratos Árabes Unidos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CF7E00F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76%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C5B989B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0FA6792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1643039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7B9AA88F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72%</w:t>
            </w:r>
          </w:p>
        </w:tc>
      </w:tr>
      <w:tr w:rsidR="001C13CF" w:rsidRPr="001C13CF" w14:paraId="1765FFBD" w14:textId="77777777" w:rsidTr="001C13CF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6500898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Kosovo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7666757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E975051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DF119DA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579A5A6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36D4A90C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70%</w:t>
            </w:r>
          </w:p>
        </w:tc>
      </w:tr>
      <w:tr w:rsidR="001C13CF" w:rsidRPr="001C13CF" w14:paraId="2E31CC8F" w14:textId="77777777" w:rsidTr="001C13CF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3F10A8FD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Kazajstán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D2FB5A4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A585C93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AE440F5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19CAA68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3242227C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66%</w:t>
            </w:r>
          </w:p>
        </w:tc>
      </w:tr>
      <w:tr w:rsidR="001C13CF" w:rsidRPr="001C13CF" w14:paraId="2B86AE22" w14:textId="77777777" w:rsidTr="001C13CF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78157CD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Indonesia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81222BF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ACBD9F7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975DE1A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9D67193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72CFDE0E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65%</w:t>
            </w:r>
          </w:p>
        </w:tc>
      </w:tr>
      <w:tr w:rsidR="001C13CF" w:rsidRPr="001C13CF" w14:paraId="0700A4E5" w14:textId="77777777" w:rsidTr="001C13CF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68D30951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Ghana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31966C2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087DD66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7453904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5A950AC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3B88B7D1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65%</w:t>
            </w:r>
          </w:p>
        </w:tc>
      </w:tr>
      <w:tr w:rsidR="001C13CF" w:rsidRPr="001C13CF" w14:paraId="11EC7469" w14:textId="77777777" w:rsidTr="001C13CF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3EC2A21C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Yemen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BD1D97F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C91C85C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FC0487E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EA9BFCC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312FCD87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52%</w:t>
            </w:r>
          </w:p>
        </w:tc>
      </w:tr>
      <w:tr w:rsidR="001C13CF" w:rsidRPr="001C13CF" w14:paraId="4454A4D5" w14:textId="77777777" w:rsidTr="001C13CF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373A94BF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Pakistán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D692A7E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6900C13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F2C08BE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7586B0A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760F4EF3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51%</w:t>
            </w:r>
          </w:p>
        </w:tc>
      </w:tr>
      <w:tr w:rsidR="001C13CF" w:rsidRPr="001C13CF" w14:paraId="5E9CDAEA" w14:textId="77777777" w:rsidTr="001C13CF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E445039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Filipinas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DC69A8A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7234F1C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09EE11A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A2E8CEA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66E0F17B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49%</w:t>
            </w:r>
          </w:p>
        </w:tc>
      </w:tr>
      <w:tr w:rsidR="001C13CF" w:rsidRPr="001C13CF" w14:paraId="581AADDC" w14:textId="77777777" w:rsidTr="001C13CF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2873E0A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Kenia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963E936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66%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8F6A5D0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9441DAA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532DB53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2B14CD74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48%</w:t>
            </w:r>
          </w:p>
        </w:tc>
      </w:tr>
      <w:tr w:rsidR="001C13CF" w:rsidRPr="001C13CF" w14:paraId="27AC2F2C" w14:textId="77777777" w:rsidTr="001C13CF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28CBF25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Israel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C8DA956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1A6193E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C23208F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AA50143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572E5628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45%</w:t>
            </w:r>
          </w:p>
        </w:tc>
      </w:tr>
      <w:tr w:rsidR="001C13CF" w:rsidRPr="001C13CF" w14:paraId="29B9E9BF" w14:textId="77777777" w:rsidTr="001C13CF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39A8161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Federación de Rusia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9622A46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5FC9692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6294265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7E4F0FC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20%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54FDDAA6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43%</w:t>
            </w:r>
          </w:p>
        </w:tc>
      </w:tr>
      <w:tr w:rsidR="001C13CF" w:rsidRPr="001C13CF" w14:paraId="439A59E7" w14:textId="77777777" w:rsidTr="001C13CF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5C491D40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Libia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BF40A6C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C40B9D5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A261019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1446240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177A22EB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42%</w:t>
            </w:r>
          </w:p>
        </w:tc>
      </w:tr>
      <w:tr w:rsidR="001C13CF" w:rsidRPr="001C13CF" w14:paraId="15D7E9CE" w14:textId="77777777" w:rsidTr="001C13CF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377C62B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Portugal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4FA0B87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79924D1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92639A0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A7D5E7B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569E66BB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41%</w:t>
            </w:r>
          </w:p>
        </w:tc>
      </w:tr>
      <w:tr w:rsidR="001C13CF" w:rsidRPr="001C13CF" w14:paraId="55C7FBB9" w14:textId="77777777" w:rsidTr="001C13CF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7313D75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Camerún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70F7F21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88CF5B9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2BB80CB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E48A345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13AC5866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40%</w:t>
            </w:r>
          </w:p>
        </w:tc>
      </w:tr>
      <w:tr w:rsidR="001C13CF" w:rsidRPr="001C13CF" w14:paraId="504EE4B3" w14:textId="77777777" w:rsidTr="001C13CF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410CAA9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Tailandia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33BA929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2D555CC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D494D06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01CB7D1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14%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18C4C88F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39%</w:t>
            </w:r>
          </w:p>
        </w:tc>
      </w:tr>
      <w:tr w:rsidR="001C13CF" w:rsidRPr="001C13CF" w14:paraId="2CFCED99" w14:textId="77777777" w:rsidTr="001C13CF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DA87D31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Serbia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3D7BCA8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66D5C9C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C86B5DE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6FC06C1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0D9BCC65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35%</w:t>
            </w:r>
          </w:p>
        </w:tc>
      </w:tr>
      <w:tr w:rsidR="001C13CF" w:rsidRPr="001C13CF" w14:paraId="2F31FB7F" w14:textId="77777777" w:rsidTr="001C13CF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E33D52E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Iraq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586344F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8917213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ED1FF4B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93BC986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55AED519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32%</w:t>
            </w:r>
          </w:p>
        </w:tc>
      </w:tr>
      <w:tr w:rsidR="001C13CF" w:rsidRPr="001C13CF" w14:paraId="0F72B14E" w14:textId="77777777" w:rsidTr="001C13CF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B8A01B1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Bolivia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86FB2DF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02E1178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260F71F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CF52185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6313F389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32%</w:t>
            </w:r>
          </w:p>
        </w:tc>
      </w:tr>
      <w:tr w:rsidR="001C13CF" w:rsidRPr="001C13CF" w14:paraId="3BC0EB2D" w14:textId="77777777" w:rsidTr="001C13CF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3E08AB58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Georgia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DA216AC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E4CBE2A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12850DC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2B2EEA6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16%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057A3146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30%</w:t>
            </w:r>
          </w:p>
        </w:tc>
      </w:tr>
      <w:tr w:rsidR="001C13CF" w:rsidRPr="001C13CF" w14:paraId="62E28E76" w14:textId="77777777" w:rsidTr="001C13CF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30ADF48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Armenia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324C75E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5011E84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6FC7EBB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F968F12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6DFB75C9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30%</w:t>
            </w:r>
          </w:p>
        </w:tc>
      </w:tr>
      <w:tr w:rsidR="001C13CF" w:rsidRPr="001C13CF" w14:paraId="1C1F529E" w14:textId="77777777" w:rsidTr="001C13CF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8803B2E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Corea del Sur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A6B2648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56%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BA87870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9214A2F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D27E3B0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3E569F05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29%</w:t>
            </w:r>
          </w:p>
        </w:tc>
      </w:tr>
      <w:tr w:rsidR="001C13CF" w:rsidRPr="001C13CF" w14:paraId="4E86F2DC" w14:textId="77777777" w:rsidTr="001C13CF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8B13C08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Ecuador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258E76E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7B34FC9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508B047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95F80F7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7FE35027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26%</w:t>
            </w:r>
          </w:p>
        </w:tc>
      </w:tr>
      <w:tr w:rsidR="001C13CF" w:rsidRPr="001C13CF" w14:paraId="5ADDDF96" w14:textId="77777777" w:rsidTr="001C13CF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A1FC428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Bosnia y </w:t>
            </w:r>
            <w:proofErr w:type="spellStart"/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Hercegovina</w:t>
            </w:r>
            <w:proofErr w:type="spellEnd"/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FB4EB08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AA943BB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A98551E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1064739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78E7420D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25%</w:t>
            </w:r>
          </w:p>
        </w:tc>
      </w:tr>
      <w:tr w:rsidR="001C13CF" w:rsidRPr="001C13CF" w14:paraId="7FF043B0" w14:textId="77777777" w:rsidTr="001C13CF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0CD768DE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Rumanía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EDECB4A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429AA08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26%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D6CA7B5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C6AAA70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031962CF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24%</w:t>
            </w:r>
          </w:p>
        </w:tc>
      </w:tr>
      <w:tr w:rsidR="001C13CF" w:rsidRPr="001C13CF" w14:paraId="0473BF2A" w14:textId="77777777" w:rsidTr="001C13CF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3F61A263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Hong Kong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F9F8CA7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6E3B098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26%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7FA8D77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211C454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0EA5A9E7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22%</w:t>
            </w:r>
          </w:p>
        </w:tc>
      </w:tr>
      <w:tr w:rsidR="001C13CF" w:rsidRPr="001C13CF" w14:paraId="1A6156B2" w14:textId="77777777" w:rsidTr="001C13CF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6779633B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Sierra Leona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6E0B862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60E5B4B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FD14854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AD09090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1E46BA2F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22%</w:t>
            </w:r>
          </w:p>
        </w:tc>
      </w:tr>
      <w:tr w:rsidR="001C13CF" w:rsidRPr="001C13CF" w14:paraId="60932518" w14:textId="77777777" w:rsidTr="001C13CF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347B84B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Polonia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175CF9E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FAAA6FA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0D4C913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26%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E3281F0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72AFE28D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19%</w:t>
            </w:r>
          </w:p>
        </w:tc>
      </w:tr>
      <w:tr w:rsidR="001C13CF" w:rsidRPr="001C13CF" w14:paraId="6D42DF82" w14:textId="77777777" w:rsidTr="001C13CF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0802FCE3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Jordania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5AC4AE8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DC29A31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DA24A00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5FDDA1C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66A54487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18%</w:t>
            </w:r>
          </w:p>
        </w:tc>
      </w:tr>
      <w:tr w:rsidR="001C13CF" w:rsidRPr="001C13CF" w14:paraId="1BE664BA" w14:textId="77777777" w:rsidTr="001C13CF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398570B8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México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F420B4C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3B85540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1AB4EA4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3F4D3F9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4274F4F6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18%</w:t>
            </w:r>
          </w:p>
        </w:tc>
      </w:tr>
      <w:tr w:rsidR="001C13CF" w:rsidRPr="001C13CF" w14:paraId="0E41CCFE" w14:textId="77777777" w:rsidTr="001C13CF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0B2E180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Irlanda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981D29B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4793563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901EFD4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A5A8231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3D41540A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15%</w:t>
            </w:r>
          </w:p>
        </w:tc>
      </w:tr>
      <w:tr w:rsidR="001C13CF" w:rsidRPr="001C13CF" w14:paraId="62FD7E4A" w14:textId="77777777" w:rsidTr="001C13CF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0D61D915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Estados Unidos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DD1C5EE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3A32A5A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59CB84E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8575AAE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4A3EB6F4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13%</w:t>
            </w:r>
          </w:p>
        </w:tc>
      </w:tr>
      <w:tr w:rsidR="001C13CF" w:rsidRPr="001C13CF" w14:paraId="460676F4" w14:textId="77777777" w:rsidTr="001C13CF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31E2B9F2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Senegal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2044351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897626D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2A7CDEF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A94179A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5E5A3740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10%</w:t>
            </w:r>
          </w:p>
        </w:tc>
      </w:tr>
      <w:tr w:rsidR="001C13CF" w:rsidRPr="001C13CF" w14:paraId="5551F852" w14:textId="77777777" w:rsidTr="001C13CF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010E4D47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India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CB76015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1EDBD74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889D67B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AF60BD8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0C312B2C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10%</w:t>
            </w:r>
          </w:p>
        </w:tc>
      </w:tr>
      <w:tr w:rsidR="001C13CF" w:rsidRPr="001C13CF" w14:paraId="0056C9DD" w14:textId="77777777" w:rsidTr="001C13CF">
        <w:trPr>
          <w:trHeight w:val="51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4B04A9D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Países Bajos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A2B474C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95AF56B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185D64D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67B05F1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589FAA58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10%</w:t>
            </w:r>
          </w:p>
        </w:tc>
      </w:tr>
      <w:tr w:rsidR="001C13CF" w:rsidRPr="001C13CF" w14:paraId="13386952" w14:textId="77777777" w:rsidTr="001C13CF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C8AD93C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Bulgaria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5BCA440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0F5D7C3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2630344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B814715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14%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0990CDEB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8%</w:t>
            </w:r>
          </w:p>
        </w:tc>
      </w:tr>
      <w:tr w:rsidR="001C13CF" w:rsidRPr="001C13CF" w14:paraId="769A5354" w14:textId="77777777" w:rsidTr="001C13CF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62D240F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lastRenderedPageBreak/>
              <w:t>Japón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CCD5946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CE695CB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50D4B8A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A17A8DB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38%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48B5841E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7%</w:t>
            </w:r>
          </w:p>
        </w:tc>
      </w:tr>
      <w:tr w:rsidR="001C13CF" w:rsidRPr="001C13CF" w14:paraId="223D2CD9" w14:textId="77777777" w:rsidTr="001C13CF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97BB4F4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Reino Unido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9D9BCCC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12CB4E0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26%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B23DC40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9C56C3A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15%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75D5B2E7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6%</w:t>
            </w:r>
          </w:p>
        </w:tc>
      </w:tr>
      <w:tr w:rsidR="001C13CF" w:rsidRPr="001C13CF" w14:paraId="59838918" w14:textId="77777777" w:rsidTr="001C13CF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FEE4E16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Costa de Marfil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4365FE3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5093C4B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E5ABEE5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A5A3322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41684DF5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3%</w:t>
            </w:r>
          </w:p>
        </w:tc>
      </w:tr>
      <w:tr w:rsidR="001C13CF" w:rsidRPr="001C13CF" w14:paraId="53866D30" w14:textId="77777777" w:rsidTr="001C13CF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62F3670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Siria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C481C8F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57C8ACA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5E55680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A3454BB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14A33073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3%</w:t>
            </w:r>
          </w:p>
        </w:tc>
      </w:tr>
      <w:tr w:rsidR="001C13CF" w:rsidRPr="001C13CF" w14:paraId="3E3EB06F" w14:textId="77777777" w:rsidTr="001C13CF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6717BA3A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Canadá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4504393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63D2595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2D7B466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8307CC7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372FC253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3%</w:t>
            </w:r>
          </w:p>
        </w:tc>
      </w:tr>
      <w:tr w:rsidR="001C13CF" w:rsidRPr="001C13CF" w14:paraId="7996564F" w14:textId="77777777" w:rsidTr="001C13CF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06037AB4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Argentina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E86FFD7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C11BAA4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F31EFC2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9C7B892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17%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7E00A3BC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2%</w:t>
            </w:r>
          </w:p>
        </w:tc>
      </w:tr>
      <w:tr w:rsidR="001C13CF" w:rsidRPr="001C13CF" w14:paraId="24AEF781" w14:textId="77777777" w:rsidTr="001C13CF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77A0E03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Etiopía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0783F90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46%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02B532C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46%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922B358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3473A8B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1E9DBED7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0%</w:t>
            </w:r>
          </w:p>
        </w:tc>
      </w:tr>
      <w:tr w:rsidR="001C13CF" w:rsidRPr="001C13CF" w14:paraId="2D7F6680" w14:textId="77777777" w:rsidTr="001C13CF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6759C895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Alemania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A70E939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8B01B87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71CF291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C928D6D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0D48660B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-2%</w:t>
            </w:r>
          </w:p>
        </w:tc>
      </w:tr>
      <w:tr w:rsidR="001C13CF" w:rsidRPr="001C13CF" w14:paraId="34063955" w14:textId="77777777" w:rsidTr="001C13CF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0B8C0050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Perú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4F4BF4D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C5BB655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36%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56E87B0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C58363D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0F25B10F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-4%</w:t>
            </w:r>
          </w:p>
        </w:tc>
      </w:tr>
      <w:tr w:rsidR="001C13CF" w:rsidRPr="001C13CF" w14:paraId="30EB0BFD" w14:textId="77777777" w:rsidTr="001C13CF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6DD24426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República Eslovaca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68D5094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6591175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36%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1FFB197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94C998A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8%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1AAB1901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-5%</w:t>
            </w:r>
          </w:p>
        </w:tc>
      </w:tr>
      <w:tr w:rsidR="001C13CF" w:rsidRPr="001C13CF" w14:paraId="463BE121" w14:textId="77777777" w:rsidTr="001C13CF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437AD78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Afganistán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706B627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36%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786BCAD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7010FC4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EC6A0A8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12%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450E0753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-5%</w:t>
            </w:r>
          </w:p>
        </w:tc>
      </w:tr>
      <w:tr w:rsidR="001C13CF" w:rsidRPr="001C13CF" w14:paraId="3502A409" w14:textId="77777777" w:rsidTr="001C13CF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02389100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Moldavia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F1F5097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36%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F639568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A67C4D9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9F77B4B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13%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5641CA81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-5%</w:t>
            </w:r>
          </w:p>
        </w:tc>
      </w:tr>
      <w:tr w:rsidR="001C13CF" w:rsidRPr="001C13CF" w14:paraId="58383E7A" w14:textId="77777777" w:rsidTr="001C13CF">
        <w:trPr>
          <w:trHeight w:val="51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415BB9B2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Croacia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6EFC5FD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78B836D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36%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E3DEB00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86D493F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739FE59A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-7%</w:t>
            </w:r>
          </w:p>
        </w:tc>
      </w:tr>
      <w:tr w:rsidR="001C13CF" w:rsidRPr="001C13CF" w14:paraId="384E152A" w14:textId="77777777" w:rsidTr="001C13CF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00C1C024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Territorios palestinos (Cisjordania y Gaza)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3F4D52F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2A33715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A84D8CA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57D8966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1C0CF635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-8%</w:t>
            </w:r>
          </w:p>
        </w:tc>
      </w:tr>
      <w:tr w:rsidR="001C13CF" w:rsidRPr="001C13CF" w14:paraId="7CBE46D3" w14:textId="77777777" w:rsidTr="001C13CF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68EB1CB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Bélgica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B4781CD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14B7323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68CBB24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FF41B1D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13%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42C0E281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-9%</w:t>
            </w:r>
          </w:p>
        </w:tc>
      </w:tr>
      <w:tr w:rsidR="001C13CF" w:rsidRPr="001C13CF" w14:paraId="5E2079E4" w14:textId="77777777" w:rsidTr="001C13CF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AB0164C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Hungría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0542F03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89C51EA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FFF7752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26%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6913B44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2C9B5534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-9%</w:t>
            </w:r>
          </w:p>
        </w:tc>
      </w:tr>
      <w:tr w:rsidR="001C13CF" w:rsidRPr="001C13CF" w14:paraId="18B320E6" w14:textId="77777777" w:rsidTr="001C13CF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EF0FD0B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Suiza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E2840FA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9517038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44ACD11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4A9CBE9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9%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51006F1A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-10%</w:t>
            </w:r>
          </w:p>
        </w:tc>
      </w:tr>
      <w:tr w:rsidR="001C13CF" w:rsidRPr="001C13CF" w14:paraId="0BC53481" w14:textId="77777777" w:rsidTr="001C13CF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B01D2F9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Macedonia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00775E0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36%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941B691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905A841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91482FA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6%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02F1A7F6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-11%</w:t>
            </w:r>
          </w:p>
        </w:tc>
      </w:tr>
      <w:tr w:rsidR="001C13CF" w:rsidRPr="001C13CF" w14:paraId="3F58F265" w14:textId="77777777" w:rsidTr="001C13CF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77BEBD2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Suecia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8128F2D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B0B8F45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5842B06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A7360AB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575051A4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-12%</w:t>
            </w:r>
          </w:p>
        </w:tc>
      </w:tr>
      <w:tr w:rsidR="001C13CF" w:rsidRPr="001C13CF" w14:paraId="23BF0452" w14:textId="77777777" w:rsidTr="001C13CF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5257E328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Vietnam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0B266E7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7225894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BACE321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26%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292601F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247E7E46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-12%</w:t>
            </w:r>
          </w:p>
        </w:tc>
      </w:tr>
      <w:tr w:rsidR="001C13CF" w:rsidRPr="001C13CF" w14:paraId="4EC1EFAC" w14:textId="77777777" w:rsidTr="001C13CF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2157CCD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Austria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D61BB76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961626D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809D127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BA9B20B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0820008E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-14%</w:t>
            </w:r>
          </w:p>
        </w:tc>
      </w:tr>
      <w:tr w:rsidR="001C13CF" w:rsidRPr="001C13CF" w14:paraId="6D48908A" w14:textId="77777777" w:rsidTr="001C13CF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01147A25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Grecia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99E9D0F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4FC0418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335E22C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532A52F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32F7F396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-14%</w:t>
            </w:r>
          </w:p>
        </w:tc>
      </w:tr>
      <w:tr w:rsidR="001C13CF" w:rsidRPr="001C13CF" w14:paraId="584F6743" w14:textId="77777777" w:rsidTr="001C13CF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3DDF02D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España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453B382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30%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A1A4ECD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E4E00BD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19%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17F2C93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16DDDC0C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-15%</w:t>
            </w:r>
          </w:p>
        </w:tc>
      </w:tr>
      <w:tr w:rsidR="001C13CF" w:rsidRPr="001C13CF" w14:paraId="68FEDBA6" w14:textId="77777777" w:rsidTr="001C13CF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79396A4D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Francia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AAFFA92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C2C6A69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40%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EFB20E7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32A00D4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13%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0D6EA6BA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-15%</w:t>
            </w:r>
          </w:p>
        </w:tc>
      </w:tr>
      <w:tr w:rsidR="001C13CF" w:rsidRPr="001C13CF" w14:paraId="73E2B4ED" w14:textId="77777777" w:rsidTr="001C13CF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143D6458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República Checa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123F532C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25%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2266723D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41%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F394AED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3FC4BD9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7%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60F6B74B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-16%</w:t>
            </w:r>
          </w:p>
        </w:tc>
      </w:tr>
      <w:tr w:rsidR="001C13CF" w:rsidRPr="001C13CF" w14:paraId="777A4F6F" w14:textId="77777777" w:rsidTr="001C13CF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5B43CB87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Luxemburgo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2E3D561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097DD431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B420922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F653311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10%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18650B97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-17%</w:t>
            </w:r>
          </w:p>
        </w:tc>
      </w:tr>
      <w:tr w:rsidR="001C13CF" w:rsidRPr="001C13CF" w14:paraId="7FCDA430" w14:textId="77777777" w:rsidTr="001C13CF">
        <w:trPr>
          <w:trHeight w:val="300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2A463C47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Italia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63833972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16%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3C3FB975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47%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3BA9EAF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22%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9668FF7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15%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4EADE241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-32%</w:t>
            </w:r>
          </w:p>
        </w:tc>
      </w:tr>
      <w:tr w:rsidR="001C13CF" w:rsidRPr="001C13CF" w14:paraId="6E68A554" w14:textId="77777777" w:rsidTr="001C13CF">
        <w:trPr>
          <w:trHeight w:val="315"/>
        </w:trPr>
        <w:tc>
          <w:tcPr>
            <w:tcW w:w="2380" w:type="dxa"/>
            <w:shd w:val="clear" w:color="auto" w:fill="auto"/>
            <w:noWrap/>
            <w:vAlign w:val="bottom"/>
            <w:hideMark/>
          </w:tcPr>
          <w:p w14:paraId="0F20B7B5" w14:textId="77777777" w:rsidR="001C13CF" w:rsidRPr="001C13CF" w:rsidRDefault="001C13CF" w:rsidP="001C1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1C13CF">
              <w:rPr>
                <w:rFonts w:ascii="Calibri" w:eastAsia="Times New Roman" w:hAnsi="Calibri" w:cs="Times New Roman"/>
                <w:color w:val="000000"/>
                <w:lang w:eastAsia="es-AR"/>
              </w:rPr>
              <w:t>Eslovenia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5344E60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14%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72AFBED8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53%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5B395BFA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28%</w:t>
            </w:r>
          </w:p>
        </w:tc>
        <w:tc>
          <w:tcPr>
            <w:tcW w:w="1420" w:type="dxa"/>
            <w:shd w:val="clear" w:color="auto" w:fill="auto"/>
            <w:noWrap/>
            <w:vAlign w:val="center"/>
            <w:hideMark/>
          </w:tcPr>
          <w:p w14:paraId="428A7B3C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5%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55A67879" w14:textId="77777777" w:rsidR="001C13CF" w:rsidRPr="001C13CF" w:rsidRDefault="001C13CF" w:rsidP="001C1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  <w:r w:rsidRPr="001C1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  <w:t>-39%</w:t>
            </w:r>
          </w:p>
        </w:tc>
      </w:tr>
    </w:tbl>
    <w:p w14:paraId="3AF81D39" w14:textId="77777777" w:rsidR="00ED166E" w:rsidRDefault="00ED166E" w:rsidP="0037517C">
      <w:pPr>
        <w:tabs>
          <w:tab w:val="left" w:pos="-720"/>
        </w:tabs>
        <w:spacing w:after="0"/>
        <w:jc w:val="both"/>
        <w:rPr>
          <w:rFonts w:cstheme="minorHAnsi"/>
          <w:b/>
          <w:spacing w:val="-2"/>
          <w:szCs w:val="24"/>
        </w:rPr>
      </w:pPr>
    </w:p>
    <w:p w14:paraId="323D8BCD" w14:textId="77777777" w:rsidR="0037517C" w:rsidRPr="00ED166E" w:rsidRDefault="0037517C" w:rsidP="0037517C">
      <w:pPr>
        <w:tabs>
          <w:tab w:val="left" w:pos="-720"/>
        </w:tabs>
        <w:spacing w:after="0"/>
        <w:jc w:val="both"/>
        <w:rPr>
          <w:rFonts w:cstheme="minorHAnsi"/>
          <w:b/>
          <w:spacing w:val="-2"/>
          <w:szCs w:val="24"/>
        </w:rPr>
      </w:pPr>
      <w:r w:rsidRPr="00ED166E">
        <w:rPr>
          <w:rFonts w:cstheme="minorHAnsi"/>
          <w:b/>
          <w:spacing w:val="-2"/>
          <w:szCs w:val="24"/>
        </w:rPr>
        <w:t>ACERCA DE VOICES!</w:t>
      </w:r>
    </w:p>
    <w:p w14:paraId="7E290E03" w14:textId="2E6F31A6" w:rsidR="0037517C" w:rsidRPr="00ED166E" w:rsidRDefault="0037517C" w:rsidP="0037517C">
      <w:pPr>
        <w:tabs>
          <w:tab w:val="left" w:pos="-720"/>
        </w:tabs>
        <w:spacing w:after="0"/>
        <w:jc w:val="both"/>
        <w:rPr>
          <w:rFonts w:cstheme="minorHAnsi"/>
          <w:color w:val="0000FF"/>
          <w:spacing w:val="-2"/>
          <w:szCs w:val="24"/>
          <w:u w:val="single"/>
        </w:rPr>
      </w:pPr>
      <w:proofErr w:type="spellStart"/>
      <w:r w:rsidRPr="00ED166E">
        <w:rPr>
          <w:rFonts w:cstheme="minorHAnsi"/>
          <w:spacing w:val="-2"/>
          <w:szCs w:val="24"/>
        </w:rPr>
        <w:t>Voices</w:t>
      </w:r>
      <w:proofErr w:type="spellEnd"/>
      <w:r w:rsidRPr="00ED166E">
        <w:rPr>
          <w:rFonts w:cstheme="minorHAnsi"/>
          <w:spacing w:val="-2"/>
          <w:szCs w:val="24"/>
        </w:rPr>
        <w:t xml:space="preserve">! </w:t>
      </w:r>
      <w:proofErr w:type="spellStart"/>
      <w:r w:rsidRPr="00ED166E">
        <w:rPr>
          <w:rFonts w:cstheme="minorHAnsi"/>
          <w:spacing w:val="-2"/>
          <w:szCs w:val="24"/>
        </w:rPr>
        <w:t>Research</w:t>
      </w:r>
      <w:proofErr w:type="spellEnd"/>
      <w:r w:rsidRPr="00ED166E">
        <w:rPr>
          <w:rFonts w:cstheme="minorHAnsi"/>
          <w:spacing w:val="-2"/>
          <w:szCs w:val="24"/>
        </w:rPr>
        <w:t xml:space="preserve"> &amp; </w:t>
      </w:r>
      <w:proofErr w:type="spellStart"/>
      <w:r w:rsidRPr="00ED166E">
        <w:rPr>
          <w:rFonts w:cstheme="minorHAnsi"/>
          <w:spacing w:val="-2"/>
          <w:szCs w:val="24"/>
        </w:rPr>
        <w:t>Consultancy</w:t>
      </w:r>
      <w:proofErr w:type="spellEnd"/>
      <w:r w:rsidRPr="00ED166E">
        <w:rPr>
          <w:rFonts w:cstheme="minorHAnsi"/>
          <w:spacing w:val="-2"/>
          <w:szCs w:val="24"/>
        </w:rPr>
        <w:t xml:space="preserve"> es una empresa con foco en la investigación social, política y de mercado, con el objetivo de proporcionar consultoría a las organizaciones usando rigurosas metodolog</w:t>
      </w:r>
      <w:r w:rsidR="00E53661">
        <w:rPr>
          <w:rFonts w:cstheme="minorHAnsi"/>
          <w:spacing w:val="-2"/>
          <w:szCs w:val="24"/>
        </w:rPr>
        <w:t xml:space="preserve">ías y enfoques innovadores. </w:t>
      </w:r>
      <w:proofErr w:type="gramStart"/>
      <w:r w:rsidR="00E53661">
        <w:rPr>
          <w:rFonts w:cstheme="minorHAnsi"/>
          <w:spacing w:val="-2"/>
          <w:szCs w:val="24"/>
        </w:rPr>
        <w:t xml:space="preserve">El </w:t>
      </w:r>
      <w:r w:rsidRPr="00ED166E">
        <w:rPr>
          <w:rFonts w:cstheme="minorHAnsi"/>
          <w:spacing w:val="-2"/>
          <w:szCs w:val="24"/>
        </w:rPr>
        <w:t>equipo de VOICES!</w:t>
      </w:r>
      <w:proofErr w:type="gramEnd"/>
      <w:r w:rsidRPr="00ED166E">
        <w:rPr>
          <w:rFonts w:cstheme="minorHAnsi"/>
          <w:spacing w:val="-2"/>
          <w:szCs w:val="24"/>
        </w:rPr>
        <w:t xml:space="preserve">  tiene una amplia experiencia en estudios nacionales e internacionales y ha participado en las investigaciones con encuestas más importantes del mundo. </w:t>
      </w:r>
      <w:hyperlink r:id="rId8" w:history="1">
        <w:r w:rsidRPr="00ED166E">
          <w:rPr>
            <w:rFonts w:cstheme="minorHAnsi"/>
            <w:color w:val="0000FF"/>
            <w:spacing w:val="-2"/>
            <w:szCs w:val="24"/>
            <w:u w:val="single"/>
          </w:rPr>
          <w:t>http://www.voicesconsultancy.com/</w:t>
        </w:r>
      </w:hyperlink>
    </w:p>
    <w:p w14:paraId="080B816E" w14:textId="77777777" w:rsidR="0037517C" w:rsidRPr="00ED166E" w:rsidRDefault="0037517C" w:rsidP="0037517C">
      <w:pPr>
        <w:autoSpaceDE w:val="0"/>
        <w:autoSpaceDN w:val="0"/>
        <w:spacing w:after="0"/>
        <w:jc w:val="both"/>
        <w:outlineLvl w:val="0"/>
        <w:rPr>
          <w:rFonts w:cstheme="minorHAnsi"/>
          <w:b/>
          <w:bCs/>
          <w:szCs w:val="24"/>
        </w:rPr>
      </w:pPr>
    </w:p>
    <w:p w14:paraId="3C7101A6" w14:textId="35CDC86A" w:rsidR="0037517C" w:rsidRDefault="0037517C" w:rsidP="0037517C">
      <w:pPr>
        <w:autoSpaceDE w:val="0"/>
        <w:autoSpaceDN w:val="0"/>
        <w:spacing w:after="0"/>
        <w:jc w:val="both"/>
        <w:outlineLvl w:val="0"/>
        <w:rPr>
          <w:rFonts w:cstheme="minorHAnsi"/>
          <w:b/>
          <w:bCs/>
          <w:szCs w:val="24"/>
        </w:rPr>
      </w:pPr>
      <w:r w:rsidRPr="00ED166E">
        <w:rPr>
          <w:rFonts w:cstheme="minorHAnsi"/>
          <w:b/>
          <w:bCs/>
          <w:szCs w:val="24"/>
        </w:rPr>
        <w:t>ESTUDIO INTERNACIONAL</w:t>
      </w:r>
    </w:p>
    <w:p w14:paraId="413727B0" w14:textId="51F5C113" w:rsidR="00B24592" w:rsidRPr="00ED166E" w:rsidRDefault="0037517C" w:rsidP="0037517C">
      <w:pPr>
        <w:autoSpaceDE w:val="0"/>
        <w:autoSpaceDN w:val="0"/>
        <w:spacing w:after="0"/>
        <w:jc w:val="both"/>
        <w:outlineLvl w:val="0"/>
        <w:rPr>
          <w:rFonts w:cstheme="minorHAnsi"/>
          <w:bCs/>
          <w:szCs w:val="24"/>
        </w:rPr>
      </w:pPr>
      <w:r w:rsidRPr="00ED166E">
        <w:rPr>
          <w:rFonts w:cstheme="minorHAnsi"/>
          <w:b/>
          <w:bCs/>
          <w:szCs w:val="24"/>
        </w:rPr>
        <w:t>Cobertura</w:t>
      </w:r>
      <w:r w:rsidRPr="00ED166E">
        <w:rPr>
          <w:rFonts w:cstheme="minorHAnsi"/>
          <w:bCs/>
          <w:szCs w:val="24"/>
        </w:rPr>
        <w:t xml:space="preserve">: </w:t>
      </w:r>
      <w:r w:rsidR="00E93EE7" w:rsidRPr="00ED166E">
        <w:rPr>
          <w:rFonts w:cstheme="minorHAnsi"/>
          <w:bCs/>
          <w:szCs w:val="24"/>
        </w:rPr>
        <w:t>64</w:t>
      </w:r>
      <w:r w:rsidRPr="00ED166E">
        <w:rPr>
          <w:rFonts w:cstheme="minorHAnsi"/>
          <w:bCs/>
          <w:szCs w:val="24"/>
        </w:rPr>
        <w:t xml:space="preserve"> países cubriendo todas las regiones</w:t>
      </w:r>
    </w:p>
    <w:p w14:paraId="7B7CDC96" w14:textId="0C97FF40" w:rsidR="00AD1FB8" w:rsidRDefault="0037517C" w:rsidP="00AD1FB8">
      <w:pPr>
        <w:autoSpaceDE w:val="0"/>
        <w:autoSpaceDN w:val="0"/>
        <w:spacing w:after="0"/>
        <w:jc w:val="both"/>
        <w:outlineLvl w:val="0"/>
        <w:rPr>
          <w:rFonts w:cstheme="minorHAnsi"/>
          <w:bCs/>
          <w:szCs w:val="24"/>
        </w:rPr>
      </w:pPr>
      <w:r w:rsidRPr="00ED166E">
        <w:rPr>
          <w:rFonts w:cstheme="minorHAnsi"/>
          <w:b/>
          <w:bCs/>
          <w:szCs w:val="24"/>
        </w:rPr>
        <w:t>Tamaño de la muestra y trabajo de campo:</w:t>
      </w:r>
      <w:r w:rsidR="00B24592">
        <w:rPr>
          <w:rFonts w:cstheme="minorHAnsi"/>
          <w:b/>
          <w:bCs/>
          <w:szCs w:val="24"/>
        </w:rPr>
        <w:t xml:space="preserve"> </w:t>
      </w:r>
      <w:r w:rsidRPr="00ED166E">
        <w:rPr>
          <w:rFonts w:cstheme="minorHAnsi"/>
          <w:bCs/>
          <w:szCs w:val="24"/>
        </w:rPr>
        <w:t>Se entrevistaron cerca de 65.724 personas en todo el mundo.</w:t>
      </w:r>
    </w:p>
    <w:p w14:paraId="07C1EDD5" w14:textId="54464AD3" w:rsidR="00F01877" w:rsidRDefault="00F01877">
      <w:pPr>
        <w:rPr>
          <w:rFonts w:cstheme="minorHAnsi"/>
          <w:bCs/>
          <w:szCs w:val="24"/>
        </w:rPr>
      </w:pPr>
      <w:r>
        <w:rPr>
          <w:rFonts w:cstheme="minorHAnsi"/>
          <w:bCs/>
          <w:szCs w:val="24"/>
        </w:rPr>
        <w:br w:type="page"/>
      </w:r>
    </w:p>
    <w:p w14:paraId="27B15300" w14:textId="77777777" w:rsidR="00B24592" w:rsidRPr="00ED166E" w:rsidRDefault="00B24592" w:rsidP="00AD1FB8">
      <w:pPr>
        <w:autoSpaceDE w:val="0"/>
        <w:autoSpaceDN w:val="0"/>
        <w:spacing w:after="0"/>
        <w:jc w:val="both"/>
        <w:outlineLvl w:val="0"/>
        <w:rPr>
          <w:rFonts w:cstheme="minorHAnsi"/>
          <w:bCs/>
          <w:szCs w:val="24"/>
        </w:rPr>
      </w:pPr>
    </w:p>
    <w:p w14:paraId="00276101" w14:textId="77777777" w:rsidR="00AD1FB8" w:rsidRPr="00ED166E" w:rsidRDefault="00104870" w:rsidP="00AD1FB8">
      <w:pPr>
        <w:autoSpaceDE w:val="0"/>
        <w:autoSpaceDN w:val="0"/>
        <w:spacing w:after="0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ED166E">
        <w:rPr>
          <w:rFonts w:cstheme="minorHAnsi"/>
          <w:b/>
          <w:bCs/>
          <w:sz w:val="24"/>
          <w:szCs w:val="24"/>
        </w:rPr>
        <w:t>REGIONES</w:t>
      </w:r>
    </w:p>
    <w:p w14:paraId="01C1163E" w14:textId="77777777" w:rsidR="00AD1FB8" w:rsidRPr="00104870" w:rsidRDefault="00AD1FB8" w:rsidP="00E53661">
      <w:pPr>
        <w:autoSpaceDE w:val="0"/>
        <w:autoSpaceDN w:val="0"/>
        <w:spacing w:after="0"/>
        <w:jc w:val="both"/>
        <w:outlineLvl w:val="0"/>
        <w:rPr>
          <w:rFonts w:cstheme="minorHAnsi"/>
          <w:bCs/>
          <w:sz w:val="20"/>
          <w:szCs w:val="24"/>
        </w:rPr>
      </w:pPr>
      <w:r w:rsidRPr="00104870">
        <w:rPr>
          <w:rFonts w:cstheme="minorHAnsi"/>
          <w:bCs/>
          <w:sz w:val="20"/>
          <w:szCs w:val="24"/>
        </w:rPr>
        <w:t xml:space="preserve">América del Norte: Canadá y Estados Unidos. </w:t>
      </w:r>
    </w:p>
    <w:p w14:paraId="677F08D0" w14:textId="77777777" w:rsidR="00AD1FB8" w:rsidRPr="00104870" w:rsidRDefault="00AD1FB8" w:rsidP="00E53661">
      <w:pPr>
        <w:autoSpaceDE w:val="0"/>
        <w:autoSpaceDN w:val="0"/>
        <w:spacing w:after="0"/>
        <w:jc w:val="both"/>
        <w:outlineLvl w:val="0"/>
        <w:rPr>
          <w:rFonts w:cstheme="minorHAnsi"/>
          <w:bCs/>
          <w:sz w:val="20"/>
          <w:szCs w:val="24"/>
        </w:rPr>
      </w:pPr>
      <w:r w:rsidRPr="00104870">
        <w:rPr>
          <w:rFonts w:cstheme="minorHAnsi"/>
          <w:bCs/>
          <w:sz w:val="20"/>
          <w:szCs w:val="24"/>
        </w:rPr>
        <w:t xml:space="preserve">América Latina: Argentina, Bolivia, Ecuador, México y Perú. </w:t>
      </w:r>
    </w:p>
    <w:p w14:paraId="0F81F5EF" w14:textId="77777777" w:rsidR="00AD1FB8" w:rsidRPr="00104870" w:rsidRDefault="00104870" w:rsidP="00E53661">
      <w:pPr>
        <w:autoSpaceDE w:val="0"/>
        <w:autoSpaceDN w:val="0"/>
        <w:spacing w:after="0"/>
        <w:jc w:val="both"/>
        <w:outlineLvl w:val="0"/>
        <w:rPr>
          <w:rFonts w:cstheme="minorHAnsi"/>
          <w:bCs/>
          <w:sz w:val="20"/>
          <w:szCs w:val="24"/>
        </w:rPr>
      </w:pPr>
      <w:r w:rsidRPr="00104870">
        <w:rPr>
          <w:rFonts w:cstheme="minorHAnsi"/>
          <w:bCs/>
          <w:sz w:val="20"/>
          <w:szCs w:val="24"/>
        </w:rPr>
        <w:t>UE</w:t>
      </w:r>
      <w:r w:rsidR="00AD1FB8" w:rsidRPr="00104870">
        <w:rPr>
          <w:rFonts w:cstheme="minorHAnsi"/>
          <w:bCs/>
          <w:sz w:val="20"/>
          <w:szCs w:val="24"/>
        </w:rPr>
        <w:t>: Austria, Bélgica, Bulgaria, Alemania, Croacia, Eslovaquia, Eslovenia, España, Francia, Grecia, Hungría, Irlanda, Italia, Luxemburgo, Países Bajos, Polonia, Portugal, Reino Unido, República Checa, Rumanía, Suecia y Suiza.</w:t>
      </w:r>
    </w:p>
    <w:p w14:paraId="07C49856" w14:textId="77777777" w:rsidR="00AD1FB8" w:rsidRPr="00104870" w:rsidRDefault="00AD1FB8" w:rsidP="00E53661">
      <w:pPr>
        <w:autoSpaceDE w:val="0"/>
        <w:autoSpaceDN w:val="0"/>
        <w:spacing w:after="0"/>
        <w:jc w:val="both"/>
        <w:outlineLvl w:val="0"/>
        <w:rPr>
          <w:rFonts w:cstheme="minorHAnsi"/>
          <w:bCs/>
          <w:sz w:val="20"/>
          <w:szCs w:val="24"/>
        </w:rPr>
      </w:pPr>
      <w:r w:rsidRPr="00104870">
        <w:rPr>
          <w:rFonts w:cstheme="minorHAnsi"/>
          <w:bCs/>
          <w:sz w:val="20"/>
          <w:szCs w:val="24"/>
        </w:rPr>
        <w:t>Europa no comunitaria: Armenia, Bosnia y Herzegovina, Georgia, Kazajstán, Kosovo, Macedonia, Moldavia, Federación Rusa, Serbia.</w:t>
      </w:r>
    </w:p>
    <w:p w14:paraId="1C14CBCC" w14:textId="77777777" w:rsidR="00AD1FB8" w:rsidRPr="00104870" w:rsidRDefault="00AD1FB8" w:rsidP="00E53661">
      <w:pPr>
        <w:autoSpaceDE w:val="0"/>
        <w:autoSpaceDN w:val="0"/>
        <w:spacing w:after="0"/>
        <w:jc w:val="both"/>
        <w:outlineLvl w:val="0"/>
        <w:rPr>
          <w:rFonts w:cstheme="minorHAnsi"/>
          <w:bCs/>
          <w:sz w:val="20"/>
          <w:szCs w:val="24"/>
        </w:rPr>
      </w:pPr>
      <w:r w:rsidRPr="00104870">
        <w:rPr>
          <w:rFonts w:cstheme="minorHAnsi"/>
          <w:bCs/>
          <w:sz w:val="20"/>
          <w:szCs w:val="24"/>
        </w:rPr>
        <w:t>África Subsahariana: Camerún, Etiopía, Ghana, Costa de Marfil, Kenia, Nigeria, Senegal, Sierra Leona.</w:t>
      </w:r>
    </w:p>
    <w:p w14:paraId="64DB1F8F" w14:textId="77777777" w:rsidR="00AD1FB8" w:rsidRPr="00104870" w:rsidRDefault="00AD1FB8" w:rsidP="00E53661">
      <w:pPr>
        <w:autoSpaceDE w:val="0"/>
        <w:autoSpaceDN w:val="0"/>
        <w:spacing w:after="0"/>
        <w:jc w:val="both"/>
        <w:outlineLvl w:val="0"/>
        <w:rPr>
          <w:rFonts w:cstheme="minorHAnsi"/>
          <w:bCs/>
          <w:sz w:val="20"/>
          <w:szCs w:val="24"/>
        </w:rPr>
      </w:pPr>
      <w:r w:rsidRPr="00104870">
        <w:rPr>
          <w:rFonts w:cstheme="minorHAnsi"/>
          <w:bCs/>
          <w:sz w:val="20"/>
          <w:szCs w:val="24"/>
        </w:rPr>
        <w:t xml:space="preserve">Oriente Medio y Norte de África: Irak, Israel, Jordania, Libia, Territorios Palestinos (Cisjordania y Gaza), Siria, Emiratos Árabes Unidos, Yemen. </w:t>
      </w:r>
    </w:p>
    <w:p w14:paraId="4556919B" w14:textId="77777777" w:rsidR="00AD1FB8" w:rsidRPr="00104870" w:rsidRDefault="00AD1FB8" w:rsidP="00E53661">
      <w:pPr>
        <w:autoSpaceDE w:val="0"/>
        <w:autoSpaceDN w:val="0"/>
        <w:spacing w:after="0"/>
        <w:jc w:val="both"/>
        <w:outlineLvl w:val="0"/>
        <w:rPr>
          <w:rFonts w:cstheme="minorHAnsi"/>
          <w:bCs/>
          <w:sz w:val="20"/>
          <w:szCs w:val="24"/>
        </w:rPr>
      </w:pPr>
      <w:r w:rsidRPr="00104870">
        <w:rPr>
          <w:rFonts w:cstheme="minorHAnsi"/>
          <w:bCs/>
          <w:sz w:val="20"/>
          <w:szCs w:val="24"/>
        </w:rPr>
        <w:t>Asia Occidental: Afganistán. Asia Meridional: India y Pakistán.</w:t>
      </w:r>
    </w:p>
    <w:p w14:paraId="251CCD4A" w14:textId="77777777" w:rsidR="004A7A2D" w:rsidRPr="00042AE0" w:rsidRDefault="00AD1FB8" w:rsidP="00E53661">
      <w:pPr>
        <w:autoSpaceDE w:val="0"/>
        <w:autoSpaceDN w:val="0"/>
        <w:spacing w:after="0"/>
        <w:jc w:val="both"/>
        <w:outlineLvl w:val="0"/>
        <w:rPr>
          <w:rFonts w:cstheme="minorHAnsi"/>
          <w:sz w:val="24"/>
          <w:szCs w:val="24"/>
        </w:rPr>
      </w:pPr>
      <w:r w:rsidRPr="00104870">
        <w:rPr>
          <w:rFonts w:cstheme="minorHAnsi"/>
          <w:bCs/>
          <w:sz w:val="20"/>
          <w:szCs w:val="24"/>
        </w:rPr>
        <w:t>Asia Oriental + Oceanía: Hong Kong, Indonesia, Japón, Corea del Sur, Filipinas, Tailandia, Vietnam.</w:t>
      </w:r>
      <w:r w:rsidR="00104870" w:rsidRPr="00042AE0">
        <w:rPr>
          <w:rFonts w:cstheme="minorHAnsi"/>
          <w:sz w:val="24"/>
          <w:szCs w:val="24"/>
        </w:rPr>
        <w:t xml:space="preserve"> </w:t>
      </w:r>
    </w:p>
    <w:p w14:paraId="5CFC4B86" w14:textId="77777777" w:rsidR="007A1A2C" w:rsidRDefault="007A1A2C" w:rsidP="00E53661"/>
    <w:sectPr w:rsidR="007A1A2C" w:rsidSect="003076E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76"/>
    <w:rsid w:val="000B35BF"/>
    <w:rsid w:val="00104870"/>
    <w:rsid w:val="00106E35"/>
    <w:rsid w:val="0012139D"/>
    <w:rsid w:val="001257D0"/>
    <w:rsid w:val="001A099A"/>
    <w:rsid w:val="001B02D3"/>
    <w:rsid w:val="001C13CF"/>
    <w:rsid w:val="001E01F9"/>
    <w:rsid w:val="0027043F"/>
    <w:rsid w:val="00301DCF"/>
    <w:rsid w:val="003076E4"/>
    <w:rsid w:val="0037517C"/>
    <w:rsid w:val="00380D3E"/>
    <w:rsid w:val="00487702"/>
    <w:rsid w:val="004A7A2D"/>
    <w:rsid w:val="004B5475"/>
    <w:rsid w:val="00510554"/>
    <w:rsid w:val="00532A76"/>
    <w:rsid w:val="007407BC"/>
    <w:rsid w:val="007A1A2C"/>
    <w:rsid w:val="008C2E05"/>
    <w:rsid w:val="008D4CA0"/>
    <w:rsid w:val="00932631"/>
    <w:rsid w:val="0097407D"/>
    <w:rsid w:val="00AA261F"/>
    <w:rsid w:val="00AB4133"/>
    <w:rsid w:val="00AD1FB8"/>
    <w:rsid w:val="00B208A1"/>
    <w:rsid w:val="00B24592"/>
    <w:rsid w:val="00C2412B"/>
    <w:rsid w:val="00C376B7"/>
    <w:rsid w:val="00C5323F"/>
    <w:rsid w:val="00CE2FDC"/>
    <w:rsid w:val="00D143B4"/>
    <w:rsid w:val="00DB7E5F"/>
    <w:rsid w:val="00E24343"/>
    <w:rsid w:val="00E53661"/>
    <w:rsid w:val="00E62579"/>
    <w:rsid w:val="00E93EE7"/>
    <w:rsid w:val="00ED166E"/>
    <w:rsid w:val="00ED1865"/>
    <w:rsid w:val="00F01877"/>
    <w:rsid w:val="00F35D16"/>
    <w:rsid w:val="00F671A5"/>
    <w:rsid w:val="00F7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8F21"/>
  <w15:chartTrackingRefBased/>
  <w15:docId w15:val="{CE276448-CAEE-492B-AE6B-C3A635FB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">
    <w:name w:val="Body"/>
    <w:rsid w:val="0037517C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3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icesconsultancy.com/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1754177790962129E-2"/>
          <c:y val="0.1471111711894382"/>
          <c:w val="0.96931352877834798"/>
          <c:h val="0.695612404672592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Mejor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A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Hoja1!$A$2:$A$11</c:f>
              <c:strCache>
                <c:ptCount val="10"/>
                <c:pt idx="0">
                  <c:v>GLOBAL</c:v>
                </c:pt>
                <c:pt idx="1">
                  <c:v>Asia Meridional</c:v>
                </c:pt>
                <c:pt idx="2">
                  <c:v>América del Norte</c:v>
                </c:pt>
                <c:pt idx="3">
                  <c:v>Asia Oriental + Oceanía</c:v>
                </c:pt>
                <c:pt idx="4">
                  <c:v>África subsahariana</c:v>
                </c:pt>
                <c:pt idx="5">
                  <c:v>Europa no UE</c:v>
                </c:pt>
                <c:pt idx="6">
                  <c:v>UE</c:v>
                </c:pt>
                <c:pt idx="7">
                  <c:v>América Latina</c:v>
                </c:pt>
                <c:pt idx="8">
                  <c:v>MENA</c:v>
                </c:pt>
                <c:pt idx="9">
                  <c:v>Asia Occidental</c:v>
                </c:pt>
              </c:strCache>
            </c:strRef>
          </c:cat>
          <c:val>
            <c:numRef>
              <c:f>Hoja1!$B$2:$B$11</c:f>
              <c:numCache>
                <c:formatCode>###0%</c:formatCode>
                <c:ptCount val="10"/>
                <c:pt idx="0">
                  <c:v>0.5104156855565517</c:v>
                </c:pt>
                <c:pt idx="1">
                  <c:v>0.59715266581636406</c:v>
                </c:pt>
                <c:pt idx="2">
                  <c:v>0.57660129467687338</c:v>
                </c:pt>
                <c:pt idx="3">
                  <c:v>0.57571404719567698</c:v>
                </c:pt>
                <c:pt idx="4">
                  <c:v>0.56400167633890841</c:v>
                </c:pt>
                <c:pt idx="5">
                  <c:v>0.50760381563222212</c:v>
                </c:pt>
                <c:pt idx="6">
                  <c:v>0.48739664427977591</c:v>
                </c:pt>
                <c:pt idx="7">
                  <c:v>0.47026739325041478</c:v>
                </c:pt>
                <c:pt idx="8">
                  <c:v>0.46975648075412413</c:v>
                </c:pt>
                <c:pt idx="9">
                  <c:v>0.39780933523455486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7D-4528-B1B2-9B54BB70EFB9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Peor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A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Hoja1!$A$2:$A$11</c:f>
              <c:strCache>
                <c:ptCount val="10"/>
                <c:pt idx="0">
                  <c:v>GLOBAL</c:v>
                </c:pt>
                <c:pt idx="1">
                  <c:v>Asia Meridional</c:v>
                </c:pt>
                <c:pt idx="2">
                  <c:v>América del Norte</c:v>
                </c:pt>
                <c:pt idx="3">
                  <c:v>Asia Oriental + Oceanía</c:v>
                </c:pt>
                <c:pt idx="4">
                  <c:v>África subsahariana</c:v>
                </c:pt>
                <c:pt idx="5">
                  <c:v>Europa no UE</c:v>
                </c:pt>
                <c:pt idx="6">
                  <c:v>UE</c:v>
                </c:pt>
                <c:pt idx="7">
                  <c:v>América Latina</c:v>
                </c:pt>
                <c:pt idx="8">
                  <c:v>MENA</c:v>
                </c:pt>
                <c:pt idx="9">
                  <c:v>Asia Occidental</c:v>
                </c:pt>
              </c:strCache>
            </c:strRef>
          </c:cat>
          <c:val>
            <c:numRef>
              <c:f>Hoja1!$C$2:$C$11</c:f>
              <c:numCache>
                <c:formatCode>###0%</c:formatCode>
                <c:ptCount val="10"/>
                <c:pt idx="0">
                  <c:v>0.22510486538548269</c:v>
                </c:pt>
                <c:pt idx="1">
                  <c:v>0.27846551224664162</c:v>
                </c:pt>
                <c:pt idx="2">
                  <c:v>0.17447174725195269</c:v>
                </c:pt>
                <c:pt idx="3">
                  <c:v>0.125360240781488</c:v>
                </c:pt>
                <c:pt idx="4">
                  <c:v>0.24132294625960829</c:v>
                </c:pt>
                <c:pt idx="5">
                  <c:v>0.24623103494997906</c:v>
                </c:pt>
                <c:pt idx="6">
                  <c:v>0.22297325892875083</c:v>
                </c:pt>
                <c:pt idx="7">
                  <c:v>0.19481478365823038</c:v>
                </c:pt>
                <c:pt idx="8">
                  <c:v>0.25216025137470544</c:v>
                </c:pt>
                <c:pt idx="9">
                  <c:v>0.38858873336860195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7D-4528-B1B2-9B54BB70EFB9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Similar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A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Hoja1!$A$2:$A$11</c:f>
              <c:strCache>
                <c:ptCount val="10"/>
                <c:pt idx="0">
                  <c:v>GLOBAL</c:v>
                </c:pt>
                <c:pt idx="1">
                  <c:v>Asia Meridional</c:v>
                </c:pt>
                <c:pt idx="2">
                  <c:v>América del Norte</c:v>
                </c:pt>
                <c:pt idx="3">
                  <c:v>Asia Oriental + Oceanía</c:v>
                </c:pt>
                <c:pt idx="4">
                  <c:v>África subsahariana</c:v>
                </c:pt>
                <c:pt idx="5">
                  <c:v>Europa no UE</c:v>
                </c:pt>
                <c:pt idx="6">
                  <c:v>UE</c:v>
                </c:pt>
                <c:pt idx="7">
                  <c:v>América Latina</c:v>
                </c:pt>
                <c:pt idx="8">
                  <c:v>MENA</c:v>
                </c:pt>
                <c:pt idx="9">
                  <c:v>Asia Occidental</c:v>
                </c:pt>
              </c:strCache>
            </c:strRef>
          </c:cat>
          <c:val>
            <c:numRef>
              <c:f>Hoja1!$D$2:$D$11</c:f>
              <c:numCache>
                <c:formatCode>###0%</c:formatCode>
                <c:ptCount val="10"/>
                <c:pt idx="0">
                  <c:v>0.23124305058564296</c:v>
                </c:pt>
                <c:pt idx="1">
                  <c:v>9.9936813448122469E-2</c:v>
                </c:pt>
                <c:pt idx="2">
                  <c:v>0.21967768014937078</c:v>
                </c:pt>
                <c:pt idx="3">
                  <c:v>0.24920856793403265</c:v>
                </c:pt>
                <c:pt idx="4">
                  <c:v>0.17065554466484309</c:v>
                </c:pt>
                <c:pt idx="5">
                  <c:v>0.19759246222707932</c:v>
                </c:pt>
                <c:pt idx="6">
                  <c:v>0.26307170945687902</c:v>
                </c:pt>
                <c:pt idx="7">
                  <c:v>0.31002449214272904</c:v>
                </c:pt>
                <c:pt idx="8">
                  <c:v>0.23304529981670594</c:v>
                </c:pt>
                <c:pt idx="9">
                  <c:v>0.20508943743726912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87D-4528-B1B2-9B54BB70EFB9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No sabe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A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Hoja1!$A$2:$A$11</c:f>
              <c:strCache>
                <c:ptCount val="10"/>
                <c:pt idx="0">
                  <c:v>GLOBAL</c:v>
                </c:pt>
                <c:pt idx="1">
                  <c:v>Asia Meridional</c:v>
                </c:pt>
                <c:pt idx="2">
                  <c:v>América del Norte</c:v>
                </c:pt>
                <c:pt idx="3">
                  <c:v>Asia Oriental + Oceanía</c:v>
                </c:pt>
                <c:pt idx="4">
                  <c:v>África subsahariana</c:v>
                </c:pt>
                <c:pt idx="5">
                  <c:v>Europa no UE</c:v>
                </c:pt>
                <c:pt idx="6">
                  <c:v>UE</c:v>
                </c:pt>
                <c:pt idx="7">
                  <c:v>América Latina</c:v>
                </c:pt>
                <c:pt idx="8">
                  <c:v>MENA</c:v>
                </c:pt>
                <c:pt idx="9">
                  <c:v>Asia Occidental</c:v>
                </c:pt>
              </c:strCache>
            </c:strRef>
          </c:cat>
          <c:val>
            <c:numRef>
              <c:f>Hoja1!$E$2:$E$11</c:f>
              <c:numCache>
                <c:formatCode>###0%</c:formatCode>
                <c:ptCount val="10"/>
                <c:pt idx="0">
                  <c:v>3.323639847233998E-2</c:v>
                </c:pt>
                <c:pt idx="1">
                  <c:v>2.4445008488873411E-2</c:v>
                </c:pt>
                <c:pt idx="2">
                  <c:v>2.9249277921808245E-2</c:v>
                </c:pt>
                <c:pt idx="3">
                  <c:v>4.9717144088816362E-2</c:v>
                </c:pt>
                <c:pt idx="4">
                  <c:v>2.4019832736645812E-2</c:v>
                </c:pt>
                <c:pt idx="5">
                  <c:v>4.8572687190719492E-2</c:v>
                </c:pt>
                <c:pt idx="6">
                  <c:v>2.6558387334612729E-2</c:v>
                </c:pt>
                <c:pt idx="7">
                  <c:v>2.4893330948620292E-2</c:v>
                </c:pt>
                <c:pt idx="8">
                  <c:v>4.5037968054464521E-2</c:v>
                </c:pt>
                <c:pt idx="9">
                  <c:v>8.5124939595743014E-3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87D-4528-B1B2-9B54BB70EF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26371535"/>
        <c:axId val="1754061807"/>
      </c:barChart>
      <c:catAx>
        <c:axId val="19263715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AR"/>
          </a:p>
        </c:txPr>
        <c:crossAx val="1754061807"/>
        <c:crosses val="autoZero"/>
        <c:auto val="1"/>
        <c:lblAlgn val="ctr"/>
        <c:lblOffset val="100"/>
        <c:noMultiLvlLbl val="0"/>
      </c:catAx>
      <c:valAx>
        <c:axId val="1754061807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9263715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3.8757006456957642E-2"/>
          <c:y val="5.4823820305723588E-2"/>
          <c:w val="0.46513702251175887"/>
          <c:h val="5.64980343122345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A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A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2083918891788797E-2"/>
          <c:y val="0.16181229773462782"/>
          <c:w val="0.97791608110821115"/>
          <c:h val="0.6869828164683297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Mejor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A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Hoja1!$A$2:$A$11</c:f>
              <c:strCache>
                <c:ptCount val="10"/>
                <c:pt idx="0">
                  <c:v>GLOBAL</c:v>
                </c:pt>
                <c:pt idx="1">
                  <c:v>África subsahariana</c:v>
                </c:pt>
                <c:pt idx="2">
                  <c:v>Asia Meridional</c:v>
                </c:pt>
                <c:pt idx="3">
                  <c:v>Europa no comunitaria</c:v>
                </c:pt>
                <c:pt idx="4">
                  <c:v>MENA</c:v>
                </c:pt>
                <c:pt idx="5">
                  <c:v>Asia Oriental + Oceanía</c:v>
                </c:pt>
                <c:pt idx="6">
                  <c:v>América Latina</c:v>
                </c:pt>
                <c:pt idx="7">
                  <c:v>América del Norte</c:v>
                </c:pt>
                <c:pt idx="8">
                  <c:v>Asia Occidental</c:v>
                </c:pt>
                <c:pt idx="9">
                  <c:v>UE</c:v>
                </c:pt>
              </c:strCache>
            </c:strRef>
          </c:cat>
          <c:val>
            <c:numRef>
              <c:f>Hoja1!$B$2:$B$11</c:f>
              <c:numCache>
                <c:formatCode>###0%</c:formatCode>
                <c:ptCount val="10"/>
                <c:pt idx="0">
                  <c:v>0.4391350879100307</c:v>
                </c:pt>
                <c:pt idx="1">
                  <c:v>0.58988200778724109</c:v>
                </c:pt>
                <c:pt idx="2">
                  <c:v>0.55826644613490628</c:v>
                </c:pt>
                <c:pt idx="3">
                  <c:v>0.5359708090512737</c:v>
                </c:pt>
                <c:pt idx="4">
                  <c:v>0.51806755695208173</c:v>
                </c:pt>
                <c:pt idx="5">
                  <c:v>0.48305421180451347</c:v>
                </c:pt>
                <c:pt idx="6">
                  <c:v>0.40430384169784728</c:v>
                </c:pt>
                <c:pt idx="7">
                  <c:v>0.40178908883064585</c:v>
                </c:pt>
                <c:pt idx="8">
                  <c:v>0.36312407039732653</c:v>
                </c:pt>
                <c:pt idx="9">
                  <c:v>0.30454208736331673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26-47ED-8E70-5899F36D32EA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Peor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A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Hoja1!$A$2:$A$11</c:f>
              <c:strCache>
                <c:ptCount val="10"/>
                <c:pt idx="0">
                  <c:v>GLOBAL</c:v>
                </c:pt>
                <c:pt idx="1">
                  <c:v>África subsahariana</c:v>
                </c:pt>
                <c:pt idx="2">
                  <c:v>Asia Meridional</c:v>
                </c:pt>
                <c:pt idx="3">
                  <c:v>Europa no comunitaria</c:v>
                </c:pt>
                <c:pt idx="4">
                  <c:v>MENA</c:v>
                </c:pt>
                <c:pt idx="5">
                  <c:v>Asia Oriental + Oceanía</c:v>
                </c:pt>
                <c:pt idx="6">
                  <c:v>América Latina</c:v>
                </c:pt>
                <c:pt idx="7">
                  <c:v>América del Norte</c:v>
                </c:pt>
                <c:pt idx="8">
                  <c:v>Asia Occidental</c:v>
                </c:pt>
                <c:pt idx="9">
                  <c:v>UE</c:v>
                </c:pt>
              </c:strCache>
            </c:strRef>
          </c:cat>
          <c:val>
            <c:numRef>
              <c:f>Hoja1!$C$2:$C$11</c:f>
              <c:numCache>
                <c:formatCode>###0%</c:formatCode>
                <c:ptCount val="10"/>
                <c:pt idx="0">
                  <c:v>0.28342211647336885</c:v>
                </c:pt>
                <c:pt idx="1">
                  <c:v>0.27170064724224346</c:v>
                </c:pt>
                <c:pt idx="2">
                  <c:v>0.2532667145226738</c:v>
                </c:pt>
                <c:pt idx="3">
                  <c:v>0.21884386853268339</c:v>
                </c:pt>
                <c:pt idx="4">
                  <c:v>0.24221000261848652</c:v>
                </c:pt>
                <c:pt idx="5">
                  <c:v>0.18354479785235628</c:v>
                </c:pt>
                <c:pt idx="6">
                  <c:v>0.29337346009330367</c:v>
                </c:pt>
                <c:pt idx="7">
                  <c:v>0.32359481194882456</c:v>
                </c:pt>
                <c:pt idx="8">
                  <c:v>0.41502844187011001</c:v>
                </c:pt>
                <c:pt idx="9">
                  <c:v>0.34392041654893185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26-47ED-8E70-5899F36D32EA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Similar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A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Hoja1!$A$2:$A$11</c:f>
              <c:strCache>
                <c:ptCount val="10"/>
                <c:pt idx="0">
                  <c:v>GLOBAL</c:v>
                </c:pt>
                <c:pt idx="1">
                  <c:v>África subsahariana</c:v>
                </c:pt>
                <c:pt idx="2">
                  <c:v>Asia Meridional</c:v>
                </c:pt>
                <c:pt idx="3">
                  <c:v>Europa no comunitaria</c:v>
                </c:pt>
                <c:pt idx="4">
                  <c:v>MENA</c:v>
                </c:pt>
                <c:pt idx="5">
                  <c:v>Asia Oriental + Oceanía</c:v>
                </c:pt>
                <c:pt idx="6">
                  <c:v>América Latina</c:v>
                </c:pt>
                <c:pt idx="7">
                  <c:v>América del Norte</c:v>
                </c:pt>
                <c:pt idx="8">
                  <c:v>Asia Occidental</c:v>
                </c:pt>
                <c:pt idx="9">
                  <c:v>UE</c:v>
                </c:pt>
              </c:strCache>
            </c:strRef>
          </c:cat>
          <c:val>
            <c:numRef>
              <c:f>Hoja1!$D$2:$D$11</c:f>
              <c:numCache>
                <c:formatCode>###0%</c:formatCode>
                <c:ptCount val="10"/>
                <c:pt idx="0">
                  <c:v>0.19647180549406115</c:v>
                </c:pt>
                <c:pt idx="1">
                  <c:v>9.5154453144323692E-2</c:v>
                </c:pt>
                <c:pt idx="2">
                  <c:v>0.11083435189585339</c:v>
                </c:pt>
                <c:pt idx="3">
                  <c:v>0.13586536226248222</c:v>
                </c:pt>
                <c:pt idx="4">
                  <c:v>0.18787640743650169</c:v>
                </c:pt>
                <c:pt idx="5">
                  <c:v>0.21160682600928526</c:v>
                </c:pt>
                <c:pt idx="6">
                  <c:v>0.22733600775742019</c:v>
                </c:pt>
                <c:pt idx="7">
                  <c:v>0.20353567367395586</c:v>
                </c:pt>
                <c:pt idx="8">
                  <c:v>0.10364069069540735</c:v>
                </c:pt>
                <c:pt idx="9">
                  <c:v>0.26683155373826983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926-47ED-8E70-5899F36D32EA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No sabe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A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Hoja1!$A$2:$A$11</c:f>
              <c:strCache>
                <c:ptCount val="10"/>
                <c:pt idx="0">
                  <c:v>GLOBAL</c:v>
                </c:pt>
                <c:pt idx="1">
                  <c:v>África subsahariana</c:v>
                </c:pt>
                <c:pt idx="2">
                  <c:v>Asia Meridional</c:v>
                </c:pt>
                <c:pt idx="3">
                  <c:v>Europa no comunitaria</c:v>
                </c:pt>
                <c:pt idx="4">
                  <c:v>MENA</c:v>
                </c:pt>
                <c:pt idx="5">
                  <c:v>Asia Oriental + Oceanía</c:v>
                </c:pt>
                <c:pt idx="6">
                  <c:v>América Latina</c:v>
                </c:pt>
                <c:pt idx="7">
                  <c:v>América del Norte</c:v>
                </c:pt>
                <c:pt idx="8">
                  <c:v>Asia Occidental</c:v>
                </c:pt>
                <c:pt idx="9">
                  <c:v>UE</c:v>
                </c:pt>
              </c:strCache>
            </c:strRef>
          </c:cat>
          <c:val>
            <c:numRef>
              <c:f>Hoja1!$E$2:$E$11</c:f>
              <c:numCache>
                <c:formatCode>###0%</c:formatCode>
                <c:ptCount val="10"/>
                <c:pt idx="0">
                  <c:v>8.0970990122560801E-2</c:v>
                </c:pt>
                <c:pt idx="1">
                  <c:v>4.3262891826197969E-2</c:v>
                </c:pt>
                <c:pt idx="2">
                  <c:v>7.763248744656813E-2</c:v>
                </c:pt>
                <c:pt idx="3">
                  <c:v>0.10931996015356066</c:v>
                </c:pt>
                <c:pt idx="4">
                  <c:v>5.1846032992930086E-2</c:v>
                </c:pt>
                <c:pt idx="5">
                  <c:v>0.12179416433385544</c:v>
                </c:pt>
                <c:pt idx="6">
                  <c:v>7.4986690451422325E-2</c:v>
                </c:pt>
                <c:pt idx="7">
                  <c:v>7.1080425546577591E-2</c:v>
                </c:pt>
                <c:pt idx="8">
                  <c:v>0.11820679703715628</c:v>
                </c:pt>
                <c:pt idx="9">
                  <c:v>8.470594234949709E-2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926-47ED-8E70-5899F36D32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26371535"/>
        <c:axId val="1754061807"/>
      </c:barChart>
      <c:catAx>
        <c:axId val="19263715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AR"/>
          </a:p>
        </c:txPr>
        <c:crossAx val="1754061807"/>
        <c:crosses val="autoZero"/>
        <c:auto val="1"/>
        <c:lblAlgn val="ctr"/>
        <c:lblOffset val="100"/>
        <c:noMultiLvlLbl val="0"/>
      </c:catAx>
      <c:valAx>
        <c:axId val="1754061807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9263715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2.7078014565585451E-2"/>
          <c:y val="4.2878984787095793E-2"/>
          <c:w val="0.50672998338568453"/>
          <c:h val="0.1375430012995947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A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A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Mejor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A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GLOBAL</c:v>
                </c:pt>
                <c:pt idx="1">
                  <c:v>LATINOAMERICA</c:v>
                </c:pt>
                <c:pt idx="2">
                  <c:v>ARGENTINA</c:v>
                </c:pt>
              </c:strCache>
            </c:strRef>
          </c:cat>
          <c:val>
            <c:numRef>
              <c:f>Hoja1!$B$2:$B$4</c:f>
              <c:numCache>
                <c:formatCode>###0%</c:formatCode>
                <c:ptCount val="3"/>
                <c:pt idx="0">
                  <c:v>0.5104156855565517</c:v>
                </c:pt>
                <c:pt idx="1">
                  <c:v>0.47026739325041478</c:v>
                </c:pt>
                <c:pt idx="2">
                  <c:v>0.46044025532143712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7E-40D4-B089-FD7F525545A8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Peor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A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GLOBAL</c:v>
                </c:pt>
                <c:pt idx="1">
                  <c:v>LATINOAMERICA</c:v>
                </c:pt>
                <c:pt idx="2">
                  <c:v>ARGENTINA</c:v>
                </c:pt>
              </c:strCache>
            </c:strRef>
          </c:cat>
          <c:val>
            <c:numRef>
              <c:f>Hoja1!$C$2:$C$4</c:f>
              <c:numCache>
                <c:formatCode>###0%</c:formatCode>
                <c:ptCount val="3"/>
                <c:pt idx="0">
                  <c:v>0.22510486538548269</c:v>
                </c:pt>
                <c:pt idx="1">
                  <c:v>0.19481478365823038</c:v>
                </c:pt>
                <c:pt idx="2">
                  <c:v>0.19319683149829336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7E-40D4-B089-FD7F525545A8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Similar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A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GLOBAL</c:v>
                </c:pt>
                <c:pt idx="1">
                  <c:v>LATINOAMERICA</c:v>
                </c:pt>
                <c:pt idx="2">
                  <c:v>ARGENTINA</c:v>
                </c:pt>
              </c:strCache>
            </c:strRef>
          </c:cat>
          <c:val>
            <c:numRef>
              <c:f>Hoja1!$D$2:$D$4</c:f>
              <c:numCache>
                <c:formatCode>###0%</c:formatCode>
                <c:ptCount val="3"/>
                <c:pt idx="0">
                  <c:v>0.23124305058564296</c:v>
                </c:pt>
                <c:pt idx="1">
                  <c:v>0.31002449214272904</c:v>
                </c:pt>
                <c:pt idx="2">
                  <c:v>0.30224132175316881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27E-40D4-B089-FD7F525545A8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No sabe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A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GLOBAL</c:v>
                </c:pt>
                <c:pt idx="1">
                  <c:v>LATINOAMERICA</c:v>
                </c:pt>
                <c:pt idx="2">
                  <c:v>ARGENTINA</c:v>
                </c:pt>
              </c:strCache>
            </c:strRef>
          </c:cat>
          <c:val>
            <c:numRef>
              <c:f>Hoja1!$E$2:$E$4</c:f>
              <c:numCache>
                <c:formatCode>###0%</c:formatCode>
                <c:ptCount val="3"/>
                <c:pt idx="0">
                  <c:v>3.323639847233998E-2</c:v>
                </c:pt>
                <c:pt idx="1">
                  <c:v>2.4893330948620292E-2</c:v>
                </c:pt>
                <c:pt idx="2">
                  <c:v>4.4121591427100551E-2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27E-40D4-B089-FD7F525545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26371535"/>
        <c:axId val="1754061807"/>
      </c:barChart>
      <c:catAx>
        <c:axId val="19263715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AR"/>
          </a:p>
        </c:txPr>
        <c:crossAx val="1754061807"/>
        <c:crosses val="autoZero"/>
        <c:auto val="1"/>
        <c:lblAlgn val="ctr"/>
        <c:lblOffset val="100"/>
        <c:noMultiLvlLbl val="0"/>
      </c:catAx>
      <c:valAx>
        <c:axId val="1754061807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9263715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A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A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Mejor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A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GLOBAL</c:v>
                </c:pt>
                <c:pt idx="1">
                  <c:v>LATINOAMERICA</c:v>
                </c:pt>
                <c:pt idx="2">
                  <c:v>ARGENTINA</c:v>
                </c:pt>
              </c:strCache>
            </c:strRef>
          </c:cat>
          <c:val>
            <c:numRef>
              <c:f>Hoja1!$B$2:$B$4</c:f>
              <c:numCache>
                <c:formatCode>0%</c:formatCode>
                <c:ptCount val="3"/>
                <c:pt idx="0">
                  <c:v>0.44</c:v>
                </c:pt>
                <c:pt idx="1">
                  <c:v>0.4</c:v>
                </c:pt>
                <c:pt idx="2">
                  <c:v>0.32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34-499F-9E6F-2C2FDAA58BDA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Peor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A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GLOBAL</c:v>
                </c:pt>
                <c:pt idx="1">
                  <c:v>LATINOAMERICA</c:v>
                </c:pt>
                <c:pt idx="2">
                  <c:v>ARGENTINA</c:v>
                </c:pt>
              </c:strCache>
            </c:strRef>
          </c:cat>
          <c:val>
            <c:numRef>
              <c:f>Hoja1!$C$2:$C$4</c:f>
              <c:numCache>
                <c:formatCode>0%</c:formatCode>
                <c:ptCount val="3"/>
                <c:pt idx="0">
                  <c:v>0.28000000000000003</c:v>
                </c:pt>
                <c:pt idx="1">
                  <c:v>0.28999999999999998</c:v>
                </c:pt>
                <c:pt idx="2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34-499F-9E6F-2C2FDAA58BDA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Similar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A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GLOBAL</c:v>
                </c:pt>
                <c:pt idx="1">
                  <c:v>LATINOAMERICA</c:v>
                </c:pt>
                <c:pt idx="2">
                  <c:v>ARGENTINA</c:v>
                </c:pt>
              </c:strCache>
            </c:strRef>
          </c:cat>
          <c:val>
            <c:numRef>
              <c:f>Hoja1!$D$2:$D$4</c:f>
              <c:numCache>
                <c:formatCode>0%</c:formatCode>
                <c:ptCount val="3"/>
                <c:pt idx="0">
                  <c:v>0.2</c:v>
                </c:pt>
                <c:pt idx="1">
                  <c:v>0.23</c:v>
                </c:pt>
                <c:pt idx="2">
                  <c:v>0.21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434-499F-9E6F-2C2FDAA58BDA}"/>
            </c:ext>
          </c:extLst>
        </c:ser>
        <c:ser>
          <c:idx val="3"/>
          <c:order val="3"/>
          <c:tx>
            <c:strRef>
              <c:f>Hoja1!$E$1</c:f>
              <c:strCache>
                <c:ptCount val="1"/>
                <c:pt idx="0">
                  <c:v>No sabe</c:v>
                </c:pt>
              </c:strCache>
            </c:strRef>
          </c:tx>
          <c:spPr>
            <a:solidFill>
              <a:schemeClr val="bg2">
                <a:lumMod val="9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A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GLOBAL</c:v>
                </c:pt>
                <c:pt idx="1">
                  <c:v>LATINOAMERICA</c:v>
                </c:pt>
                <c:pt idx="2">
                  <c:v>ARGENTINA</c:v>
                </c:pt>
              </c:strCache>
            </c:strRef>
          </c:cat>
          <c:val>
            <c:numRef>
              <c:f>Hoja1!$E$2:$E$4</c:f>
              <c:numCache>
                <c:formatCode>0%</c:formatCode>
                <c:ptCount val="3"/>
                <c:pt idx="0">
                  <c:v>0.08</c:v>
                </c:pt>
                <c:pt idx="1">
                  <c:v>7.0000000000000007E-2</c:v>
                </c:pt>
                <c:pt idx="2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434-499F-9E6F-2C2FDAA58B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26371535"/>
        <c:axId val="1754061807"/>
      </c:barChart>
      <c:catAx>
        <c:axId val="192637153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AR"/>
          </a:p>
        </c:txPr>
        <c:crossAx val="1754061807"/>
        <c:crosses val="autoZero"/>
        <c:auto val="1"/>
        <c:lblAlgn val="ctr"/>
        <c:lblOffset val="100"/>
        <c:noMultiLvlLbl val="0"/>
      </c:catAx>
      <c:valAx>
        <c:axId val="1754061807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92637153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A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A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1700</Words>
  <Characters>9356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Delfi</cp:lastModifiedBy>
  <cp:revision>6</cp:revision>
  <dcterms:created xsi:type="dcterms:W3CDTF">2023-01-30T17:21:00Z</dcterms:created>
  <dcterms:modified xsi:type="dcterms:W3CDTF">2023-02-07T13:29:00Z</dcterms:modified>
</cp:coreProperties>
</file>